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935F" w14:textId="77777777" w:rsidR="00EA0037" w:rsidRPr="001F6927" w:rsidRDefault="00EA0037" w:rsidP="007B32C3">
      <w:pPr>
        <w:spacing w:before="120" w:after="0" w:line="240" w:lineRule="auto"/>
        <w:jc w:val="center"/>
        <w:rPr>
          <w:rFonts w:ascii="Times New Roman" w:hAnsi="Times New Roman" w:cs="Times New Roman"/>
          <w:b/>
          <w:sz w:val="28"/>
          <w:szCs w:val="28"/>
        </w:rPr>
      </w:pPr>
      <w:bookmarkStart w:id="0" w:name="_GoBack"/>
      <w:bookmarkEnd w:id="0"/>
      <w:r w:rsidRPr="001F6927">
        <w:rPr>
          <w:rFonts w:ascii="Times New Roman" w:hAnsi="Times New Roman" w:cs="Times New Roman"/>
          <w:b/>
          <w:sz w:val="28"/>
          <w:szCs w:val="28"/>
        </w:rPr>
        <w:t xml:space="preserve">Informatīvais ziņojums </w:t>
      </w:r>
    </w:p>
    <w:p w14:paraId="56CC8105" w14:textId="77777777" w:rsidR="00367C1A" w:rsidRPr="001F6927" w:rsidRDefault="00EA0037" w:rsidP="007B32C3">
      <w:pPr>
        <w:spacing w:after="0" w:line="240" w:lineRule="auto"/>
        <w:jc w:val="center"/>
        <w:rPr>
          <w:rFonts w:ascii="Times New Roman" w:hAnsi="Times New Roman" w:cs="Times New Roman"/>
          <w:b/>
          <w:sz w:val="28"/>
          <w:szCs w:val="28"/>
        </w:rPr>
      </w:pPr>
      <w:r w:rsidRPr="001F6927">
        <w:rPr>
          <w:rFonts w:ascii="Times New Roman" w:hAnsi="Times New Roman" w:cs="Times New Roman"/>
          <w:b/>
          <w:sz w:val="28"/>
          <w:szCs w:val="28"/>
        </w:rPr>
        <w:t>par Latvijas dalību izstādē “Astana Expo 2017”</w:t>
      </w:r>
    </w:p>
    <w:p w14:paraId="7E7E9107" w14:textId="77777777" w:rsidR="00EA0037" w:rsidRPr="001F6927" w:rsidRDefault="00EA0037" w:rsidP="00386B45">
      <w:pPr>
        <w:spacing w:before="6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 xml:space="preserve">Informatīvais ziņojums sagatavots, </w:t>
      </w:r>
      <w:r w:rsidR="00E03150">
        <w:rPr>
          <w:rFonts w:ascii="Times New Roman" w:hAnsi="Times New Roman" w:cs="Times New Roman"/>
          <w:sz w:val="28"/>
          <w:szCs w:val="28"/>
        </w:rPr>
        <w:t>ņemot vērā</w:t>
      </w:r>
      <w:r w:rsidR="00E84AC1" w:rsidRPr="001F6927">
        <w:rPr>
          <w:rFonts w:ascii="Times New Roman" w:hAnsi="Times New Roman" w:cs="Times New Roman"/>
          <w:sz w:val="28"/>
          <w:szCs w:val="28"/>
        </w:rPr>
        <w:t xml:space="preserve"> Ministru prezidentes Laimdotas Straujumas 2015.gada 26.maija </w:t>
      </w:r>
      <w:r w:rsidR="00E03150" w:rsidRPr="001F6927">
        <w:rPr>
          <w:rFonts w:ascii="Times New Roman" w:hAnsi="Times New Roman" w:cs="Times New Roman"/>
          <w:sz w:val="28"/>
          <w:szCs w:val="28"/>
        </w:rPr>
        <w:t>rezolūcij</w:t>
      </w:r>
      <w:r w:rsidR="00E03150">
        <w:rPr>
          <w:rFonts w:ascii="Times New Roman" w:hAnsi="Times New Roman" w:cs="Times New Roman"/>
          <w:sz w:val="28"/>
          <w:szCs w:val="28"/>
        </w:rPr>
        <w:t>u</w:t>
      </w:r>
      <w:r w:rsidR="00E03150" w:rsidRPr="001F6927">
        <w:rPr>
          <w:rFonts w:ascii="Times New Roman" w:hAnsi="Times New Roman" w:cs="Times New Roman"/>
          <w:sz w:val="28"/>
          <w:szCs w:val="28"/>
        </w:rPr>
        <w:t xml:space="preserve"> </w:t>
      </w:r>
      <w:r w:rsidR="00E84AC1" w:rsidRPr="001F6927">
        <w:rPr>
          <w:rFonts w:ascii="Times New Roman" w:hAnsi="Times New Roman" w:cs="Times New Roman"/>
          <w:sz w:val="28"/>
          <w:szCs w:val="28"/>
        </w:rPr>
        <w:t>Nr.45/SAN-856</w:t>
      </w:r>
      <w:r w:rsidR="00E03150">
        <w:rPr>
          <w:rFonts w:ascii="Times New Roman" w:hAnsi="Times New Roman" w:cs="Times New Roman"/>
          <w:sz w:val="28"/>
          <w:szCs w:val="28"/>
        </w:rPr>
        <w:t xml:space="preserve"> </w:t>
      </w:r>
      <w:r w:rsidR="00C93FEC">
        <w:rPr>
          <w:rFonts w:ascii="Times New Roman" w:hAnsi="Times New Roman" w:cs="Times New Roman"/>
          <w:sz w:val="28"/>
          <w:szCs w:val="28"/>
        </w:rPr>
        <w:t xml:space="preserve"> Ekonomikas ministrijai </w:t>
      </w:r>
      <w:r w:rsidR="00C93FEC">
        <w:rPr>
          <w:rFonts w:ascii="Times New Roman" w:hAnsi="Times New Roman"/>
          <w:sz w:val="28"/>
          <w:szCs w:val="28"/>
        </w:rPr>
        <w:t>sagatavot un iesniegt izskatīšanai Ministru kabineta sēdē priekšlikumu par Latvijas dalību starptautiskajā izstādē „EXPO 2017”</w:t>
      </w:r>
      <w:r w:rsidR="00C93FEC" w:rsidRPr="00C93FEC">
        <w:rPr>
          <w:rFonts w:ascii="Times New Roman" w:hAnsi="Times New Roman" w:cs="Times New Roman"/>
          <w:sz w:val="28"/>
          <w:szCs w:val="28"/>
        </w:rPr>
        <w:t xml:space="preserve"> </w:t>
      </w:r>
      <w:r w:rsidR="00C93FEC" w:rsidRPr="001F6927">
        <w:rPr>
          <w:rFonts w:ascii="Times New Roman" w:hAnsi="Times New Roman" w:cs="Times New Roman"/>
          <w:sz w:val="28"/>
          <w:szCs w:val="28"/>
        </w:rPr>
        <w:t>, kas norisināsies 2017.gadā no 10.jūnija līdz 10.septembrim Astanā, Kazahstānā</w:t>
      </w:r>
      <w:r w:rsidRPr="001F6927">
        <w:rPr>
          <w:rFonts w:ascii="Times New Roman" w:hAnsi="Times New Roman" w:cs="Times New Roman"/>
          <w:sz w:val="28"/>
          <w:szCs w:val="28"/>
        </w:rPr>
        <w:t xml:space="preserve">. </w:t>
      </w:r>
    </w:p>
    <w:p w14:paraId="588EAF2E" w14:textId="77777777" w:rsidR="009F7C71" w:rsidRPr="001F6927" w:rsidRDefault="009F7C71" w:rsidP="00386B45">
      <w:pPr>
        <w:spacing w:before="6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 xml:space="preserve">Lai izvērtētu nepieciešamību plānot un </w:t>
      </w:r>
      <w:r w:rsidR="00F86D97" w:rsidRPr="001F6927">
        <w:rPr>
          <w:rFonts w:ascii="Times New Roman" w:hAnsi="Times New Roman" w:cs="Times New Roman"/>
          <w:sz w:val="28"/>
          <w:szCs w:val="28"/>
        </w:rPr>
        <w:t>piedalīties izstādē</w:t>
      </w:r>
      <w:r w:rsidRPr="001F6927">
        <w:rPr>
          <w:rFonts w:ascii="Times New Roman" w:hAnsi="Times New Roman" w:cs="Times New Roman"/>
          <w:sz w:val="28"/>
          <w:szCs w:val="28"/>
        </w:rPr>
        <w:t xml:space="preserve"> “Astana Expo 2017”,</w:t>
      </w:r>
      <w:r w:rsidR="00F43960">
        <w:rPr>
          <w:rFonts w:ascii="Times New Roman" w:hAnsi="Times New Roman" w:cs="Times New Roman"/>
          <w:sz w:val="28"/>
          <w:szCs w:val="28"/>
        </w:rPr>
        <w:t xml:space="preserve"> Ekonomikas ministrijā</w:t>
      </w:r>
      <w:r w:rsidRPr="001F6927">
        <w:rPr>
          <w:rFonts w:ascii="Times New Roman" w:hAnsi="Times New Roman" w:cs="Times New Roman"/>
          <w:sz w:val="28"/>
          <w:szCs w:val="28"/>
        </w:rPr>
        <w:t xml:space="preserve"> tika izvērtēts</w:t>
      </w:r>
      <w:r w:rsidR="00F86D97" w:rsidRPr="001F6927">
        <w:rPr>
          <w:rFonts w:ascii="Times New Roman" w:hAnsi="Times New Roman" w:cs="Times New Roman"/>
          <w:sz w:val="28"/>
          <w:szCs w:val="28"/>
        </w:rPr>
        <w:t xml:space="preserve"> izstādes “Astana Expo 2017” organizatora </w:t>
      </w:r>
      <w:r w:rsidRPr="001F6927">
        <w:rPr>
          <w:rFonts w:ascii="Times New Roman" w:hAnsi="Times New Roman" w:cs="Times New Roman"/>
          <w:sz w:val="28"/>
          <w:szCs w:val="28"/>
        </w:rPr>
        <w:t xml:space="preserve">sagatavotais </w:t>
      </w:r>
      <w:r w:rsidR="00F43960">
        <w:rPr>
          <w:rFonts w:ascii="Times New Roman" w:hAnsi="Times New Roman" w:cs="Times New Roman"/>
          <w:sz w:val="28"/>
          <w:szCs w:val="28"/>
        </w:rPr>
        <w:t>2015.gada 16.aprīlī iesniegtais</w:t>
      </w:r>
      <w:r w:rsidR="00F43960" w:rsidRPr="001F6927">
        <w:rPr>
          <w:rFonts w:ascii="Times New Roman" w:hAnsi="Times New Roman" w:cs="Times New Roman"/>
          <w:sz w:val="28"/>
          <w:szCs w:val="28"/>
        </w:rPr>
        <w:t xml:space="preserve"> </w:t>
      </w:r>
      <w:r w:rsidRPr="001F6927">
        <w:rPr>
          <w:rFonts w:ascii="Times New Roman" w:hAnsi="Times New Roman" w:cs="Times New Roman"/>
          <w:sz w:val="28"/>
          <w:szCs w:val="28"/>
        </w:rPr>
        <w:t>informatīvais materiāls</w:t>
      </w:r>
      <w:r w:rsidR="00F43960">
        <w:rPr>
          <w:rFonts w:ascii="Times New Roman" w:hAnsi="Times New Roman" w:cs="Times New Roman"/>
          <w:sz w:val="28"/>
          <w:szCs w:val="28"/>
        </w:rPr>
        <w:t xml:space="preserve"> </w:t>
      </w:r>
      <w:r w:rsidR="001F6927">
        <w:rPr>
          <w:rFonts w:ascii="Times New Roman" w:hAnsi="Times New Roman" w:cs="Times New Roman"/>
          <w:sz w:val="28"/>
          <w:szCs w:val="28"/>
        </w:rPr>
        <w:t>un</w:t>
      </w:r>
      <w:r w:rsidRPr="001F6927">
        <w:rPr>
          <w:rFonts w:ascii="Times New Roman" w:hAnsi="Times New Roman" w:cs="Times New Roman"/>
          <w:sz w:val="28"/>
          <w:szCs w:val="28"/>
        </w:rPr>
        <w:t xml:space="preserve"> organizatora izvirzītās prasības oficiālajiem dalībniekiem</w:t>
      </w:r>
      <w:r w:rsidR="00F43960">
        <w:rPr>
          <w:rFonts w:ascii="Times New Roman" w:hAnsi="Times New Roman" w:cs="Times New Roman"/>
          <w:sz w:val="28"/>
          <w:szCs w:val="28"/>
        </w:rPr>
        <w:t xml:space="preserve"> (izvērtējuma sagatavošanas laikā ņemta </w:t>
      </w:r>
      <w:r w:rsidR="009A2FA0">
        <w:rPr>
          <w:rFonts w:ascii="Times New Roman" w:hAnsi="Times New Roman" w:cs="Times New Roman"/>
          <w:sz w:val="28"/>
          <w:szCs w:val="28"/>
        </w:rPr>
        <w:t xml:space="preserve">vērā izstādes </w:t>
      </w:r>
      <w:r w:rsidR="009A2FA0" w:rsidRPr="001F6927">
        <w:rPr>
          <w:rFonts w:ascii="Times New Roman" w:hAnsi="Times New Roman" w:cs="Times New Roman"/>
          <w:sz w:val="28"/>
          <w:szCs w:val="28"/>
        </w:rPr>
        <w:t>„Astana Expo 2017” organizator</w:t>
      </w:r>
      <w:r w:rsidR="009A2FA0">
        <w:rPr>
          <w:rFonts w:ascii="Times New Roman" w:hAnsi="Times New Roman" w:cs="Times New Roman"/>
          <w:sz w:val="28"/>
          <w:szCs w:val="28"/>
        </w:rPr>
        <w:t>a norāde, ka</w:t>
      </w:r>
      <w:r w:rsidR="009A2FA0" w:rsidRPr="001F6927">
        <w:rPr>
          <w:rFonts w:ascii="Times New Roman" w:hAnsi="Times New Roman" w:cs="Times New Roman"/>
          <w:sz w:val="28"/>
          <w:szCs w:val="28"/>
        </w:rPr>
        <w:t xml:space="preserve"> izstādes gatavošanās laikā var mainīties informācija par „Astana Expo 2017” norisi un darbības nosacījumiem</w:t>
      </w:r>
      <w:r w:rsidR="009A2FA0">
        <w:rPr>
          <w:rFonts w:ascii="Times New Roman" w:hAnsi="Times New Roman" w:cs="Times New Roman"/>
          <w:sz w:val="28"/>
          <w:szCs w:val="28"/>
        </w:rPr>
        <w:t>)</w:t>
      </w:r>
      <w:r w:rsidRPr="001F6927">
        <w:rPr>
          <w:rFonts w:ascii="Times New Roman" w:hAnsi="Times New Roman" w:cs="Times New Roman"/>
          <w:sz w:val="28"/>
          <w:szCs w:val="28"/>
        </w:rPr>
        <w:t>.</w:t>
      </w:r>
    </w:p>
    <w:p w14:paraId="74E35871" w14:textId="77777777" w:rsidR="00C42C8C" w:rsidRDefault="009A54A7" w:rsidP="00386B45">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Informatīvajā ziņojum</w:t>
      </w:r>
      <w:r w:rsidR="00C93FEC">
        <w:rPr>
          <w:rFonts w:ascii="Times New Roman" w:hAnsi="Times New Roman" w:cs="Times New Roman"/>
          <w:sz w:val="28"/>
          <w:szCs w:val="28"/>
        </w:rPr>
        <w:t xml:space="preserve">ā </w:t>
      </w:r>
      <w:r>
        <w:rPr>
          <w:rFonts w:ascii="Times New Roman" w:hAnsi="Times New Roman" w:cs="Times New Roman"/>
          <w:sz w:val="28"/>
          <w:szCs w:val="28"/>
        </w:rPr>
        <w:t xml:space="preserve">sniegts ieskats par starptautiskās izstādes  </w:t>
      </w:r>
      <w:r w:rsidRPr="001F6927">
        <w:rPr>
          <w:rFonts w:ascii="Times New Roman" w:hAnsi="Times New Roman" w:cs="Times New Roman"/>
          <w:sz w:val="28"/>
          <w:szCs w:val="28"/>
        </w:rPr>
        <w:t>“Astana Expo 2017”</w:t>
      </w:r>
      <w:r>
        <w:rPr>
          <w:rFonts w:ascii="Times New Roman" w:hAnsi="Times New Roman" w:cs="Times New Roman"/>
          <w:sz w:val="28"/>
          <w:szCs w:val="28"/>
        </w:rPr>
        <w:t xml:space="preserve"> norisi un darbības</w:t>
      </w:r>
      <w:r w:rsidR="00C93FEC">
        <w:rPr>
          <w:rFonts w:ascii="Times New Roman" w:hAnsi="Times New Roman" w:cs="Times New Roman"/>
          <w:sz w:val="28"/>
          <w:szCs w:val="28"/>
        </w:rPr>
        <w:t xml:space="preserve"> </w:t>
      </w:r>
      <w:r>
        <w:rPr>
          <w:rFonts w:ascii="Times New Roman" w:hAnsi="Times New Roman" w:cs="Times New Roman"/>
          <w:sz w:val="28"/>
          <w:szCs w:val="28"/>
        </w:rPr>
        <w:t xml:space="preserve">nosacījumiem, </w:t>
      </w:r>
      <w:r w:rsidR="00C93FEC">
        <w:rPr>
          <w:rFonts w:ascii="Times New Roman" w:hAnsi="Times New Roman" w:cs="Times New Roman"/>
          <w:sz w:val="28"/>
          <w:szCs w:val="28"/>
        </w:rPr>
        <w:t xml:space="preserve">kā arī sniegts vērtējums </w:t>
      </w:r>
      <w:r w:rsidR="00735459">
        <w:rPr>
          <w:rFonts w:ascii="Times New Roman" w:hAnsi="Times New Roman" w:cs="Times New Roman"/>
          <w:sz w:val="28"/>
          <w:szCs w:val="28"/>
        </w:rPr>
        <w:t>Latvijas dalīb</w:t>
      </w:r>
      <w:r w:rsidR="00F43960">
        <w:rPr>
          <w:rFonts w:ascii="Times New Roman" w:hAnsi="Times New Roman" w:cs="Times New Roman"/>
          <w:sz w:val="28"/>
          <w:szCs w:val="28"/>
        </w:rPr>
        <w:t>u</w:t>
      </w:r>
      <w:r w:rsidR="00735459">
        <w:rPr>
          <w:rFonts w:ascii="Times New Roman" w:hAnsi="Times New Roman" w:cs="Times New Roman"/>
          <w:sz w:val="28"/>
          <w:szCs w:val="28"/>
        </w:rPr>
        <w:t xml:space="preserve"> minētajā izstādē </w:t>
      </w:r>
      <w:r w:rsidR="00C93FEC">
        <w:rPr>
          <w:rFonts w:ascii="Times New Roman" w:hAnsi="Times New Roman" w:cs="Times New Roman"/>
          <w:sz w:val="28"/>
          <w:szCs w:val="28"/>
        </w:rPr>
        <w:t>un priekšlikums</w:t>
      </w:r>
      <w:r w:rsidR="00735459">
        <w:rPr>
          <w:rFonts w:ascii="Times New Roman" w:hAnsi="Times New Roman" w:cs="Times New Roman"/>
          <w:sz w:val="28"/>
          <w:szCs w:val="28"/>
        </w:rPr>
        <w:t xml:space="preserve"> turpmākai rīcībai</w:t>
      </w:r>
      <w:r w:rsidR="00C93FEC">
        <w:rPr>
          <w:rFonts w:ascii="Times New Roman" w:hAnsi="Times New Roman" w:cs="Times New Roman"/>
          <w:sz w:val="28"/>
          <w:szCs w:val="28"/>
        </w:rPr>
        <w:t>.</w:t>
      </w:r>
    </w:p>
    <w:p w14:paraId="50C4D3FF" w14:textId="77777777" w:rsidR="009A54A7" w:rsidRPr="001F6927" w:rsidRDefault="009A54A7" w:rsidP="007B32C3">
      <w:pPr>
        <w:spacing w:after="0" w:line="240" w:lineRule="auto"/>
        <w:ind w:firstLine="567"/>
        <w:jc w:val="both"/>
        <w:rPr>
          <w:rFonts w:ascii="Times New Roman" w:hAnsi="Times New Roman" w:cs="Times New Roman"/>
          <w:sz w:val="28"/>
          <w:szCs w:val="28"/>
        </w:rPr>
      </w:pPr>
    </w:p>
    <w:p w14:paraId="2A05BBAC" w14:textId="77777777" w:rsidR="00C42C8C" w:rsidRPr="009A2FA0" w:rsidRDefault="00C42C8C" w:rsidP="00386B45">
      <w:pPr>
        <w:pStyle w:val="ListParagraph"/>
        <w:numPr>
          <w:ilvl w:val="0"/>
          <w:numId w:val="6"/>
        </w:numPr>
        <w:spacing w:after="0" w:line="240" w:lineRule="auto"/>
        <w:jc w:val="both"/>
        <w:rPr>
          <w:rFonts w:ascii="Times New Roman" w:hAnsi="Times New Roman" w:cs="Times New Roman"/>
          <w:b/>
          <w:sz w:val="28"/>
          <w:szCs w:val="28"/>
        </w:rPr>
      </w:pPr>
      <w:r w:rsidRPr="009A2FA0">
        <w:rPr>
          <w:rFonts w:ascii="Times New Roman" w:hAnsi="Times New Roman" w:cs="Times New Roman"/>
          <w:b/>
          <w:sz w:val="28"/>
          <w:szCs w:val="28"/>
        </w:rPr>
        <w:t>Par starptautisko izstādi “Astana Expo 2017”</w:t>
      </w:r>
    </w:p>
    <w:p w14:paraId="38FD8DC0" w14:textId="77777777" w:rsidR="009F7C71" w:rsidRPr="001F6927" w:rsidRDefault="00C42C8C" w:rsidP="00386B45">
      <w:pPr>
        <w:spacing w:before="6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2017.gadā Kazahstānas Republikas galvaspilsētā Astanā notiekošās Expo izstādes veids un pilnais nosaukums ir “Expo 2017 starptautiski atzīta izstāde Astanā”, saīsināti</w:t>
      </w:r>
      <w:r w:rsidR="001F6927">
        <w:rPr>
          <w:rFonts w:ascii="Times New Roman" w:hAnsi="Times New Roman" w:cs="Times New Roman"/>
          <w:sz w:val="28"/>
          <w:szCs w:val="28"/>
        </w:rPr>
        <w:t>,</w:t>
      </w:r>
      <w:r w:rsidRPr="001F6927">
        <w:rPr>
          <w:rFonts w:ascii="Times New Roman" w:hAnsi="Times New Roman" w:cs="Times New Roman"/>
          <w:sz w:val="28"/>
          <w:szCs w:val="28"/>
        </w:rPr>
        <w:t xml:space="preserve"> “Astana Expo 2017”. Minētā izstāde norisināsies laika posmā no 2017.gada 10.jūnij</w:t>
      </w:r>
      <w:r w:rsidR="00A91F0E" w:rsidRPr="001F6927">
        <w:rPr>
          <w:rFonts w:ascii="Times New Roman" w:hAnsi="Times New Roman" w:cs="Times New Roman"/>
          <w:sz w:val="28"/>
          <w:szCs w:val="28"/>
        </w:rPr>
        <w:t xml:space="preserve">a līdz 2017.gada 10.septembrim </w:t>
      </w:r>
      <w:r w:rsidR="00F50CF9">
        <w:rPr>
          <w:rFonts w:ascii="Times New Roman" w:hAnsi="Times New Roman" w:cs="Times New Roman"/>
          <w:sz w:val="28"/>
          <w:szCs w:val="28"/>
        </w:rPr>
        <w:t>(</w:t>
      </w:r>
      <w:r w:rsidR="00A91F0E" w:rsidRPr="001F6927">
        <w:rPr>
          <w:rFonts w:ascii="Times New Roman" w:hAnsi="Times New Roman" w:cs="Times New Roman"/>
          <w:sz w:val="28"/>
          <w:szCs w:val="28"/>
        </w:rPr>
        <w:t>93 dienas</w:t>
      </w:r>
      <w:r w:rsidR="00F50CF9">
        <w:rPr>
          <w:rFonts w:ascii="Times New Roman" w:hAnsi="Times New Roman" w:cs="Times New Roman"/>
          <w:sz w:val="28"/>
          <w:szCs w:val="28"/>
        </w:rPr>
        <w:t>)</w:t>
      </w:r>
      <w:r w:rsidR="009F7C71" w:rsidRPr="001F6927">
        <w:rPr>
          <w:rFonts w:ascii="Times New Roman" w:hAnsi="Times New Roman" w:cs="Times New Roman"/>
          <w:sz w:val="28"/>
          <w:szCs w:val="28"/>
        </w:rPr>
        <w:t xml:space="preserve">. </w:t>
      </w:r>
    </w:p>
    <w:p w14:paraId="7233D78A" w14:textId="12563211" w:rsidR="00B65F4F" w:rsidRDefault="00B65F4F" w:rsidP="00386B45">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Izstādes </w:t>
      </w:r>
      <w:r w:rsidRPr="001F6927">
        <w:rPr>
          <w:rFonts w:ascii="Times New Roman" w:hAnsi="Times New Roman" w:cs="Times New Roman"/>
          <w:sz w:val="28"/>
          <w:szCs w:val="28"/>
        </w:rPr>
        <w:t>„Astana Expo 2017”</w:t>
      </w:r>
      <w:r>
        <w:rPr>
          <w:rFonts w:ascii="Times New Roman" w:hAnsi="Times New Roman" w:cs="Times New Roman"/>
          <w:sz w:val="28"/>
          <w:szCs w:val="28"/>
        </w:rPr>
        <w:t xml:space="preserve"> organizators ir</w:t>
      </w:r>
      <w:r w:rsidR="00A4028F">
        <w:rPr>
          <w:rFonts w:ascii="Times New Roman" w:hAnsi="Times New Roman" w:cs="Times New Roman"/>
          <w:sz w:val="28"/>
          <w:szCs w:val="28"/>
        </w:rPr>
        <w:t xml:space="preserve"> A/S “National company “Astana EXPO-2017”</w:t>
      </w:r>
      <w:r w:rsidR="0007652C">
        <w:rPr>
          <w:rFonts w:ascii="Times New Roman" w:hAnsi="Times New Roman" w:cs="Times New Roman"/>
          <w:sz w:val="28"/>
          <w:szCs w:val="28"/>
        </w:rPr>
        <w:t>”</w:t>
      </w:r>
      <w:r w:rsidR="00A4028F">
        <w:rPr>
          <w:rFonts w:ascii="Times New Roman" w:hAnsi="Times New Roman" w:cs="Times New Roman"/>
          <w:sz w:val="28"/>
          <w:szCs w:val="28"/>
        </w:rPr>
        <w:t xml:space="preserve">, kas, atbilstoši Kazahstānas valdības lēmumam, tika izveidota 2013.gada 15.janvārī. </w:t>
      </w:r>
      <w:r w:rsidR="00A4028F" w:rsidDel="00A4028F">
        <w:rPr>
          <w:rFonts w:ascii="Times New Roman" w:hAnsi="Times New Roman" w:cs="Times New Roman"/>
          <w:sz w:val="28"/>
          <w:szCs w:val="28"/>
        </w:rPr>
        <w:t xml:space="preserve"> </w:t>
      </w:r>
    </w:p>
    <w:p w14:paraId="49E0AC56" w14:textId="77777777" w:rsidR="00735459" w:rsidRPr="00735459" w:rsidRDefault="00735459" w:rsidP="00386B45">
      <w:pPr>
        <w:spacing w:before="60" w:after="0" w:line="240" w:lineRule="auto"/>
        <w:ind w:firstLine="567"/>
        <w:jc w:val="both"/>
        <w:rPr>
          <w:rFonts w:ascii="Times New Roman" w:hAnsi="Times New Roman" w:cs="Times New Roman"/>
          <w:i/>
          <w:sz w:val="28"/>
          <w:szCs w:val="28"/>
          <w:u w:val="single"/>
        </w:rPr>
      </w:pPr>
      <w:r w:rsidRPr="00735459">
        <w:rPr>
          <w:rFonts w:ascii="Times New Roman" w:hAnsi="Times New Roman" w:cs="Times New Roman"/>
          <w:i/>
          <w:sz w:val="28"/>
          <w:szCs w:val="28"/>
          <w:u w:val="single"/>
        </w:rPr>
        <w:t>Izstādes tēma</w:t>
      </w:r>
    </w:p>
    <w:p w14:paraId="4B404BF6" w14:textId="77777777" w:rsidR="00F86D97" w:rsidRPr="001F6927" w:rsidRDefault="00F86D97" w:rsidP="00386B45">
      <w:pPr>
        <w:spacing w:before="6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Organizators ir noteicis izstādes tēmu „Nākotnes enerģija”, kas atspoguļo vienu no svarīgākajiem cilvēces jautājumiem, un plāno izveidot visaptverošu pasaules izpratni par nepieciešamību attīstīt atbildīgu, ilgtspējīgu enerģētikas politiku un tehnoloģijas gan institucionālā, gan uzņēmumu, gan individuālā līmenī, lai nodrošinātu mūsu planētas nākotni nākamajām paaudzēm.</w:t>
      </w:r>
    </w:p>
    <w:p w14:paraId="7CAF0BB5" w14:textId="77777777" w:rsidR="00F86D97" w:rsidRPr="001F6927" w:rsidRDefault="00F50CF9" w:rsidP="00386B45">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Starptautiskās i</w:t>
      </w:r>
      <w:r w:rsidR="00B65F4F">
        <w:rPr>
          <w:rFonts w:ascii="Times New Roman" w:hAnsi="Times New Roman" w:cs="Times New Roman"/>
          <w:sz w:val="28"/>
          <w:szCs w:val="28"/>
        </w:rPr>
        <w:t xml:space="preserve">zstādes </w:t>
      </w:r>
      <w:r w:rsidR="00F86D97" w:rsidRPr="001F6927">
        <w:rPr>
          <w:rFonts w:ascii="Times New Roman" w:hAnsi="Times New Roman" w:cs="Times New Roman"/>
          <w:sz w:val="28"/>
          <w:szCs w:val="28"/>
        </w:rPr>
        <w:t>„Astana Expo 2017” izvēlētajai tēmai ir šādi mērķi:</w:t>
      </w:r>
    </w:p>
    <w:p w14:paraId="62611BCF" w14:textId="77777777" w:rsidR="00F86D97" w:rsidRPr="009A2FA0" w:rsidRDefault="00F86D97" w:rsidP="007B32C3">
      <w:pPr>
        <w:pStyle w:val="ListParagraph"/>
        <w:numPr>
          <w:ilvl w:val="0"/>
          <w:numId w:val="9"/>
        </w:numPr>
        <w:spacing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veicināt labas enerģētikas praksi, kas kļūtu par ilgtspējīgu attīstību;</w:t>
      </w:r>
    </w:p>
    <w:p w14:paraId="4274B42F"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veicināt tīro energoresursu (</w:t>
      </w:r>
      <w:r w:rsidRPr="009A2FA0">
        <w:rPr>
          <w:rFonts w:ascii="Times New Roman" w:hAnsi="Times New Roman" w:cs="Times New Roman"/>
          <w:i/>
          <w:sz w:val="28"/>
          <w:szCs w:val="28"/>
        </w:rPr>
        <w:t>clean energies</w:t>
      </w:r>
      <w:r w:rsidRPr="009A2FA0">
        <w:rPr>
          <w:rFonts w:ascii="Times New Roman" w:hAnsi="Times New Roman" w:cs="Times New Roman"/>
          <w:sz w:val="28"/>
          <w:szCs w:val="28"/>
        </w:rPr>
        <w:t>) pētniecību un tehnoloģiju attīstību;</w:t>
      </w:r>
    </w:p>
    <w:p w14:paraId="12313CB4"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veikt zināšanu apmaiņu starp visām „Nākotnes enerģijas” ieinteresētajām personām: dalībniekiem, akadēmiskajām un zinātniskajām institūcijām, tirdzniecības un rūpniecības pārstāvjiem, kopā ar visu sabiedrību;</w:t>
      </w:r>
    </w:p>
    <w:p w14:paraId="05F27FC3"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veicināt izpratni saistībā ar nākotnes enerģijas radītajām iespējām, izaicinājumiem un prasībām;</w:t>
      </w:r>
    </w:p>
    <w:p w14:paraId="431C226C"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lastRenderedPageBreak/>
        <w:t>caur mākslu, kultūru un izklaidi dot ieguldījumu ar tēmu saistītajās zināšanās;</w:t>
      </w:r>
    </w:p>
    <w:p w14:paraId="2961671F"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izveidot tehnoloģiju un zinātības apmaiņas platformu, kas palīdzētu izveidot zaļāku, veselīgāku un ilgtspējīgāku nākotni;</w:t>
      </w:r>
    </w:p>
    <w:p w14:paraId="18BDDA98" w14:textId="77777777" w:rsidR="00F86D97" w:rsidRPr="009A2FA0" w:rsidRDefault="00F86D97" w:rsidP="00B65F4F">
      <w:pPr>
        <w:pStyle w:val="ListParagraph"/>
        <w:numPr>
          <w:ilvl w:val="0"/>
          <w:numId w:val="9"/>
        </w:numPr>
        <w:spacing w:before="120" w:after="0" w:line="240" w:lineRule="auto"/>
        <w:ind w:left="567"/>
        <w:jc w:val="both"/>
        <w:rPr>
          <w:rFonts w:ascii="Times New Roman" w:hAnsi="Times New Roman" w:cs="Times New Roman"/>
          <w:sz w:val="28"/>
          <w:szCs w:val="28"/>
        </w:rPr>
      </w:pPr>
      <w:r w:rsidRPr="009A2FA0">
        <w:rPr>
          <w:rFonts w:ascii="Times New Roman" w:hAnsi="Times New Roman" w:cs="Times New Roman"/>
          <w:sz w:val="28"/>
          <w:szCs w:val="28"/>
        </w:rPr>
        <w:t>prezentēt Kazahstānu kā vadošu jauno valsti, kas veltīta ilgtspējīgai attīstībai.</w:t>
      </w:r>
    </w:p>
    <w:p w14:paraId="4677B3E3" w14:textId="77777777" w:rsidR="00F86D97" w:rsidRPr="001F6927" w:rsidRDefault="009A2FA0" w:rsidP="00386B45">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Izstādes </w:t>
      </w:r>
      <w:r w:rsidR="00F86D97" w:rsidRPr="001F6927">
        <w:rPr>
          <w:rFonts w:ascii="Times New Roman" w:hAnsi="Times New Roman" w:cs="Times New Roman"/>
          <w:sz w:val="28"/>
          <w:szCs w:val="28"/>
        </w:rPr>
        <w:t>„Astana Expo 2017” galvenā tēma ir „Nākotnes enerģija” (</w:t>
      </w:r>
      <w:r w:rsidR="00F86D97" w:rsidRPr="001F6927">
        <w:rPr>
          <w:rFonts w:ascii="Times New Roman" w:hAnsi="Times New Roman" w:cs="Times New Roman"/>
          <w:i/>
          <w:sz w:val="28"/>
          <w:szCs w:val="28"/>
        </w:rPr>
        <w:t>future energy</w:t>
      </w:r>
      <w:r w:rsidR="00F86D97" w:rsidRPr="001F6927">
        <w:rPr>
          <w:rFonts w:ascii="Times New Roman" w:hAnsi="Times New Roman" w:cs="Times New Roman"/>
          <w:sz w:val="28"/>
          <w:szCs w:val="28"/>
        </w:rPr>
        <w:t xml:space="preserve">), kas iedalās šādās apakštēmās: </w:t>
      </w:r>
    </w:p>
    <w:p w14:paraId="793CEDEB" w14:textId="77777777" w:rsidR="00F86D97" w:rsidRPr="009A2FA0" w:rsidRDefault="00F86D97" w:rsidP="009B0A62">
      <w:pPr>
        <w:pStyle w:val="ListParagraph"/>
        <w:numPr>
          <w:ilvl w:val="0"/>
          <w:numId w:val="19"/>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 xml:space="preserve"> </w:t>
      </w:r>
      <w:r w:rsidR="00A91F0E" w:rsidRPr="009A2FA0">
        <w:rPr>
          <w:rFonts w:ascii="Times New Roman" w:hAnsi="Times New Roman" w:cs="Times New Roman"/>
          <w:sz w:val="28"/>
          <w:szCs w:val="28"/>
        </w:rPr>
        <w:t>oglekļa</w:t>
      </w:r>
      <w:r w:rsidRPr="009A2FA0">
        <w:rPr>
          <w:rFonts w:ascii="Times New Roman" w:hAnsi="Times New Roman" w:cs="Times New Roman"/>
          <w:sz w:val="28"/>
          <w:szCs w:val="28"/>
        </w:rPr>
        <w:t xml:space="preserve"> izmešu</w:t>
      </w:r>
      <w:r w:rsidR="009A2FA0" w:rsidRPr="009A2FA0">
        <w:rPr>
          <w:rFonts w:ascii="Times New Roman" w:hAnsi="Times New Roman" w:cs="Times New Roman"/>
          <w:sz w:val="28"/>
          <w:szCs w:val="28"/>
        </w:rPr>
        <w:t xml:space="preserve"> </w:t>
      </w:r>
      <w:r w:rsidRPr="009A2FA0">
        <w:rPr>
          <w:rFonts w:ascii="Times New Roman" w:hAnsi="Times New Roman" w:cs="Times New Roman"/>
          <w:sz w:val="28"/>
          <w:szCs w:val="28"/>
        </w:rPr>
        <w:t>s</w:t>
      </w:r>
      <w:r w:rsidR="009A2FA0" w:rsidRPr="009A2FA0">
        <w:rPr>
          <w:rFonts w:ascii="Times New Roman" w:hAnsi="Times New Roman" w:cs="Times New Roman"/>
          <w:sz w:val="28"/>
          <w:szCs w:val="28"/>
        </w:rPr>
        <w:t>amazināšana</w:t>
      </w:r>
      <w:r w:rsidRPr="009A2FA0">
        <w:rPr>
          <w:rFonts w:ascii="Times New Roman" w:hAnsi="Times New Roman" w:cs="Times New Roman"/>
          <w:sz w:val="28"/>
          <w:szCs w:val="28"/>
        </w:rPr>
        <w:t>:</w:t>
      </w:r>
    </w:p>
    <w:p w14:paraId="31804423" w14:textId="77777777" w:rsidR="00F86D97" w:rsidRPr="009A2FA0" w:rsidRDefault="00F86D97" w:rsidP="009B0A62">
      <w:pPr>
        <w:pStyle w:val="ListParagraph"/>
        <w:numPr>
          <w:ilvl w:val="1"/>
          <w:numId w:val="20"/>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atjaunojamie energoresursi;</w:t>
      </w:r>
    </w:p>
    <w:p w14:paraId="20C2BE9F" w14:textId="77777777" w:rsidR="00F86D97" w:rsidRPr="009A2FA0" w:rsidRDefault="00F86D97" w:rsidP="009B0A62">
      <w:pPr>
        <w:pStyle w:val="ListParagraph"/>
        <w:numPr>
          <w:ilvl w:val="1"/>
          <w:numId w:val="20"/>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nāk</w:t>
      </w:r>
      <w:r w:rsidR="00A91F0E" w:rsidRPr="009A2FA0">
        <w:rPr>
          <w:rFonts w:ascii="Times New Roman" w:hAnsi="Times New Roman" w:cs="Times New Roman"/>
          <w:sz w:val="28"/>
          <w:szCs w:val="28"/>
        </w:rPr>
        <w:t>otne</w:t>
      </w:r>
      <w:r w:rsidR="00723643" w:rsidRPr="009A2FA0">
        <w:rPr>
          <w:rFonts w:ascii="Times New Roman" w:hAnsi="Times New Roman" w:cs="Times New Roman"/>
          <w:sz w:val="28"/>
          <w:szCs w:val="28"/>
        </w:rPr>
        <w:t xml:space="preserve"> ūdeņradī;</w:t>
      </w:r>
    </w:p>
    <w:p w14:paraId="6A178D4F" w14:textId="77777777" w:rsidR="00F86D97" w:rsidRPr="009A2FA0" w:rsidRDefault="00F86D97" w:rsidP="009B0A62">
      <w:pPr>
        <w:pStyle w:val="ListParagraph"/>
        <w:numPr>
          <w:ilvl w:val="1"/>
          <w:numId w:val="20"/>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oglekļa uztveršana (piesaiste) un uzglabāšana;</w:t>
      </w:r>
    </w:p>
    <w:p w14:paraId="24950EB4" w14:textId="77777777" w:rsidR="00F86D97" w:rsidRPr="009A2FA0" w:rsidRDefault="00F86D97" w:rsidP="009B0A62">
      <w:pPr>
        <w:pStyle w:val="ListParagraph"/>
        <w:numPr>
          <w:ilvl w:val="1"/>
          <w:numId w:val="20"/>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kodoltermiskā enerģija (</w:t>
      </w:r>
      <w:r w:rsidRPr="009A2FA0">
        <w:rPr>
          <w:rFonts w:ascii="Times New Roman" w:hAnsi="Times New Roman" w:cs="Times New Roman"/>
          <w:i/>
          <w:sz w:val="28"/>
          <w:szCs w:val="28"/>
        </w:rPr>
        <w:t>fusion energy</w:t>
      </w:r>
      <w:r w:rsidRPr="009A2FA0">
        <w:rPr>
          <w:rFonts w:ascii="Times New Roman" w:hAnsi="Times New Roman" w:cs="Times New Roman"/>
          <w:sz w:val="28"/>
          <w:szCs w:val="28"/>
        </w:rPr>
        <w:t>)</w:t>
      </w:r>
      <w:r w:rsidR="00723643" w:rsidRPr="009A2FA0">
        <w:rPr>
          <w:rFonts w:ascii="Times New Roman" w:hAnsi="Times New Roman" w:cs="Times New Roman"/>
          <w:sz w:val="28"/>
          <w:szCs w:val="28"/>
        </w:rPr>
        <w:t>;</w:t>
      </w:r>
    </w:p>
    <w:p w14:paraId="0561E4AA" w14:textId="77777777" w:rsidR="00F86D97" w:rsidRPr="009A2FA0" w:rsidRDefault="009A2FA0" w:rsidP="009B0A62">
      <w:pPr>
        <w:pStyle w:val="ListParagraph"/>
        <w:numPr>
          <w:ilvl w:val="0"/>
          <w:numId w:val="19"/>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energoefektīva dzīvošana</w:t>
      </w:r>
      <w:r w:rsidR="00F86D97" w:rsidRPr="009A2FA0">
        <w:rPr>
          <w:rFonts w:ascii="Times New Roman" w:hAnsi="Times New Roman" w:cs="Times New Roman"/>
          <w:sz w:val="28"/>
          <w:szCs w:val="28"/>
        </w:rPr>
        <w:t>:</w:t>
      </w:r>
    </w:p>
    <w:p w14:paraId="178DF5FF" w14:textId="77777777" w:rsidR="00F86D97" w:rsidRPr="009A2FA0" w:rsidRDefault="00F86D97" w:rsidP="009B0A62">
      <w:pPr>
        <w:pStyle w:val="ListParagraph"/>
        <w:numPr>
          <w:ilvl w:val="0"/>
          <w:numId w:val="21"/>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energoefektivitāte;</w:t>
      </w:r>
    </w:p>
    <w:p w14:paraId="3C22FFDE" w14:textId="77777777" w:rsidR="00F86D97" w:rsidRPr="009A2FA0" w:rsidRDefault="00F86D97" w:rsidP="009B0A62">
      <w:pPr>
        <w:pStyle w:val="ListParagraph"/>
        <w:numPr>
          <w:ilvl w:val="0"/>
          <w:numId w:val="21"/>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pilsētplānošana un ēkas;</w:t>
      </w:r>
    </w:p>
    <w:p w14:paraId="25BEC563" w14:textId="77777777" w:rsidR="00F86D97" w:rsidRPr="009A2FA0" w:rsidRDefault="00F86D97" w:rsidP="009B0A62">
      <w:pPr>
        <w:pStyle w:val="ListParagraph"/>
        <w:numPr>
          <w:ilvl w:val="0"/>
          <w:numId w:val="21"/>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efektīvs transports;</w:t>
      </w:r>
    </w:p>
    <w:p w14:paraId="22A7235C" w14:textId="77777777" w:rsidR="00F86D97" w:rsidRPr="009A2FA0" w:rsidRDefault="00723643" w:rsidP="009B0A62">
      <w:pPr>
        <w:pStyle w:val="ListParagraph"/>
        <w:numPr>
          <w:ilvl w:val="0"/>
          <w:numId w:val="21"/>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efektīva rūpniecība;</w:t>
      </w:r>
    </w:p>
    <w:p w14:paraId="01044356" w14:textId="77777777" w:rsidR="00F86D97" w:rsidRPr="009A2FA0" w:rsidRDefault="00723643" w:rsidP="009B0A62">
      <w:pPr>
        <w:pStyle w:val="ListParagraph"/>
        <w:numPr>
          <w:ilvl w:val="0"/>
          <w:numId w:val="19"/>
        </w:numPr>
        <w:spacing w:before="60" w:after="0" w:line="240" w:lineRule="auto"/>
        <w:jc w:val="both"/>
        <w:rPr>
          <w:rFonts w:ascii="Times New Roman" w:hAnsi="Times New Roman" w:cs="Times New Roman"/>
          <w:sz w:val="28"/>
          <w:szCs w:val="28"/>
        </w:rPr>
      </w:pPr>
      <w:r w:rsidRPr="009A2FA0">
        <w:rPr>
          <w:rFonts w:ascii="Times New Roman" w:hAnsi="Times New Roman" w:cs="Times New Roman"/>
          <w:sz w:val="28"/>
          <w:szCs w:val="28"/>
        </w:rPr>
        <w:t>e</w:t>
      </w:r>
      <w:r w:rsidR="00F86D97" w:rsidRPr="009A2FA0">
        <w:rPr>
          <w:rFonts w:ascii="Times New Roman" w:hAnsi="Times New Roman" w:cs="Times New Roman"/>
          <w:sz w:val="28"/>
          <w:szCs w:val="28"/>
        </w:rPr>
        <w:t>nerģija visiem:</w:t>
      </w:r>
    </w:p>
    <w:p w14:paraId="1B97F597" w14:textId="77777777" w:rsidR="00F86D97" w:rsidRPr="009A2FA0" w:rsidRDefault="00F86D97" w:rsidP="009B0A62">
      <w:pPr>
        <w:pStyle w:val="ListParagraph"/>
        <w:numPr>
          <w:ilvl w:val="0"/>
          <w:numId w:val="22"/>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enerģija pret nabadzību;</w:t>
      </w:r>
    </w:p>
    <w:p w14:paraId="2FB54FF0" w14:textId="77777777" w:rsidR="00F86D97" w:rsidRPr="009A2FA0" w:rsidRDefault="00F86D97" w:rsidP="009B0A62">
      <w:pPr>
        <w:pStyle w:val="ListParagraph"/>
        <w:numPr>
          <w:ilvl w:val="0"/>
          <w:numId w:val="22"/>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 xml:space="preserve">piekļuve ilgtspējīgai enerģijai; </w:t>
      </w:r>
    </w:p>
    <w:p w14:paraId="59C8845D" w14:textId="77777777" w:rsidR="00F86D97" w:rsidRPr="009A2FA0" w:rsidRDefault="00F86D97" w:rsidP="009B0A62">
      <w:pPr>
        <w:pStyle w:val="ListParagraph"/>
        <w:numPr>
          <w:ilvl w:val="0"/>
          <w:numId w:val="22"/>
        </w:numPr>
        <w:spacing w:before="60" w:after="0" w:line="240" w:lineRule="auto"/>
        <w:ind w:left="1418"/>
        <w:jc w:val="both"/>
        <w:rPr>
          <w:rFonts w:ascii="Times New Roman" w:hAnsi="Times New Roman" w:cs="Times New Roman"/>
          <w:sz w:val="28"/>
          <w:szCs w:val="28"/>
        </w:rPr>
      </w:pPr>
      <w:r w:rsidRPr="009A2FA0">
        <w:rPr>
          <w:rFonts w:ascii="Times New Roman" w:hAnsi="Times New Roman" w:cs="Times New Roman"/>
          <w:sz w:val="28"/>
          <w:szCs w:val="28"/>
        </w:rPr>
        <w:t>decentralizētas enerģiju sistēmas.</w:t>
      </w:r>
    </w:p>
    <w:p w14:paraId="7C8AC1A1" w14:textId="77777777" w:rsidR="00B65F4F" w:rsidRDefault="00B65F4F" w:rsidP="00386B45">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Katrai no izvirzītajām apakštēmām tiek izcelts kāds no enerģijas </w:t>
      </w:r>
      <w:r w:rsidR="00F50CF9">
        <w:rPr>
          <w:rFonts w:ascii="Times New Roman" w:hAnsi="Times New Roman" w:cs="Times New Roman"/>
          <w:sz w:val="28"/>
          <w:szCs w:val="28"/>
        </w:rPr>
        <w:t xml:space="preserve">nozīmības </w:t>
      </w:r>
      <w:r>
        <w:rPr>
          <w:rFonts w:ascii="Times New Roman" w:hAnsi="Times New Roman" w:cs="Times New Roman"/>
          <w:sz w:val="28"/>
          <w:szCs w:val="28"/>
        </w:rPr>
        <w:t xml:space="preserve">aspektiem.  </w:t>
      </w:r>
    </w:p>
    <w:p w14:paraId="72333DEA" w14:textId="3C727238" w:rsidR="00A93FB0" w:rsidRPr="001F6927" w:rsidRDefault="00B65F4F" w:rsidP="00386B45">
      <w:pPr>
        <w:spacing w:beforeLines="60" w:before="144"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A93FB0" w:rsidRPr="001F6927">
        <w:rPr>
          <w:rFonts w:ascii="Times New Roman" w:hAnsi="Times New Roman" w:cs="Times New Roman"/>
          <w:sz w:val="28"/>
          <w:szCs w:val="28"/>
        </w:rPr>
        <w:t>pakštēm</w:t>
      </w:r>
      <w:r>
        <w:rPr>
          <w:rFonts w:ascii="Times New Roman" w:hAnsi="Times New Roman" w:cs="Times New Roman"/>
          <w:sz w:val="28"/>
          <w:szCs w:val="28"/>
        </w:rPr>
        <w:t>ā</w:t>
      </w:r>
      <w:r w:rsidR="00A93FB0" w:rsidRPr="001F6927">
        <w:rPr>
          <w:rFonts w:ascii="Times New Roman" w:hAnsi="Times New Roman" w:cs="Times New Roman"/>
          <w:sz w:val="28"/>
          <w:szCs w:val="28"/>
        </w:rPr>
        <w:t xml:space="preserve"> „</w:t>
      </w:r>
      <w:r w:rsidR="007C5192">
        <w:rPr>
          <w:rFonts w:ascii="Times New Roman" w:hAnsi="Times New Roman" w:cs="Times New Roman"/>
          <w:sz w:val="28"/>
          <w:szCs w:val="28"/>
        </w:rPr>
        <w:t>O</w:t>
      </w:r>
      <w:r w:rsidR="00A91F0E" w:rsidRPr="001F6927">
        <w:rPr>
          <w:rFonts w:ascii="Times New Roman" w:hAnsi="Times New Roman" w:cs="Times New Roman"/>
          <w:sz w:val="28"/>
          <w:szCs w:val="28"/>
        </w:rPr>
        <w:t>glekļa</w:t>
      </w:r>
      <w:r w:rsidR="00A93FB0" w:rsidRPr="001F6927">
        <w:rPr>
          <w:rFonts w:ascii="Times New Roman" w:hAnsi="Times New Roman" w:cs="Times New Roman"/>
          <w:sz w:val="28"/>
          <w:szCs w:val="28"/>
        </w:rPr>
        <w:t xml:space="preserve"> izmešu</w:t>
      </w:r>
      <w:r w:rsidR="007C5192">
        <w:rPr>
          <w:rFonts w:ascii="Times New Roman" w:hAnsi="Times New Roman" w:cs="Times New Roman"/>
          <w:sz w:val="28"/>
          <w:szCs w:val="28"/>
        </w:rPr>
        <w:t xml:space="preserve"> </w:t>
      </w:r>
      <w:r w:rsidR="00A93FB0" w:rsidRPr="001F6927">
        <w:rPr>
          <w:rFonts w:ascii="Times New Roman" w:hAnsi="Times New Roman" w:cs="Times New Roman"/>
          <w:sz w:val="28"/>
          <w:szCs w:val="28"/>
        </w:rPr>
        <w:t>s</w:t>
      </w:r>
      <w:r w:rsidR="007C5192">
        <w:rPr>
          <w:rFonts w:ascii="Times New Roman" w:hAnsi="Times New Roman" w:cs="Times New Roman"/>
          <w:sz w:val="28"/>
          <w:szCs w:val="28"/>
        </w:rPr>
        <w:t>amazināšana</w:t>
      </w:r>
      <w:r w:rsidRPr="001F6927">
        <w:rPr>
          <w:rFonts w:ascii="Times New Roman" w:hAnsi="Times New Roman" w:cs="Times New Roman"/>
          <w:sz w:val="28"/>
          <w:szCs w:val="28"/>
        </w:rPr>
        <w:t>”</w:t>
      </w:r>
      <w:r w:rsidR="00A93FB0" w:rsidRPr="001F6927">
        <w:rPr>
          <w:rFonts w:ascii="Times New Roman" w:hAnsi="Times New Roman" w:cs="Times New Roman"/>
          <w:sz w:val="28"/>
          <w:szCs w:val="28"/>
        </w:rPr>
        <w:t xml:space="preserve"> </w:t>
      </w:r>
      <w:r w:rsidR="00C26111">
        <w:rPr>
          <w:rFonts w:ascii="Times New Roman" w:hAnsi="Times New Roman" w:cs="Times New Roman"/>
          <w:sz w:val="28"/>
          <w:szCs w:val="28"/>
        </w:rPr>
        <w:t>plānots izcelt</w:t>
      </w:r>
      <w:r w:rsidR="00A93FB0" w:rsidRPr="001F6927">
        <w:rPr>
          <w:rFonts w:ascii="Times New Roman" w:hAnsi="Times New Roman" w:cs="Times New Roman"/>
          <w:sz w:val="28"/>
          <w:szCs w:val="28"/>
        </w:rPr>
        <w:t xml:space="preserve"> oglekļa dioksīda izmešu samazināšanas </w:t>
      </w:r>
      <w:r w:rsidR="00C26111" w:rsidRPr="001F6927">
        <w:rPr>
          <w:rFonts w:ascii="Times New Roman" w:hAnsi="Times New Roman" w:cs="Times New Roman"/>
          <w:sz w:val="28"/>
          <w:szCs w:val="28"/>
        </w:rPr>
        <w:t>nozīmīgum</w:t>
      </w:r>
      <w:r w:rsidR="00C26111">
        <w:rPr>
          <w:rFonts w:ascii="Times New Roman" w:hAnsi="Times New Roman" w:cs="Times New Roman"/>
          <w:sz w:val="28"/>
          <w:szCs w:val="28"/>
        </w:rPr>
        <w:t>u</w:t>
      </w:r>
      <w:r w:rsidRPr="001F6927">
        <w:rPr>
          <w:rFonts w:ascii="Times New Roman" w:hAnsi="Times New Roman" w:cs="Times New Roman"/>
          <w:sz w:val="28"/>
          <w:szCs w:val="28"/>
        </w:rPr>
        <w:t xml:space="preserve">, piedāvājot </w:t>
      </w:r>
      <w:r w:rsidR="00A4028F">
        <w:rPr>
          <w:rFonts w:ascii="Times New Roman" w:hAnsi="Times New Roman" w:cs="Times New Roman"/>
          <w:sz w:val="28"/>
          <w:szCs w:val="28"/>
        </w:rPr>
        <w:t>maz</w:t>
      </w:r>
      <w:r w:rsidRPr="001F6927">
        <w:rPr>
          <w:rFonts w:ascii="Times New Roman" w:hAnsi="Times New Roman" w:cs="Times New Roman"/>
          <w:sz w:val="28"/>
          <w:szCs w:val="28"/>
        </w:rPr>
        <w:t>oglekļa (</w:t>
      </w:r>
      <w:r w:rsidRPr="001F6927">
        <w:rPr>
          <w:rFonts w:ascii="Times New Roman" w:hAnsi="Times New Roman" w:cs="Times New Roman"/>
          <w:i/>
          <w:sz w:val="28"/>
          <w:szCs w:val="28"/>
        </w:rPr>
        <w:t>low-carbon</w:t>
      </w:r>
      <w:r w:rsidRPr="001F6927">
        <w:rPr>
          <w:rFonts w:ascii="Times New Roman" w:hAnsi="Times New Roman" w:cs="Times New Roman"/>
          <w:sz w:val="28"/>
          <w:szCs w:val="28"/>
        </w:rPr>
        <w:t xml:space="preserve">) tehnoloģiju </w:t>
      </w:r>
      <w:r w:rsidR="00A4028F" w:rsidRPr="001F6927">
        <w:rPr>
          <w:rFonts w:ascii="Times New Roman" w:hAnsi="Times New Roman" w:cs="Times New Roman"/>
          <w:sz w:val="28"/>
          <w:szCs w:val="28"/>
        </w:rPr>
        <w:t xml:space="preserve">enerģijas </w:t>
      </w:r>
      <w:r w:rsidRPr="001F6927">
        <w:rPr>
          <w:rFonts w:ascii="Times New Roman" w:hAnsi="Times New Roman" w:cs="Times New Roman"/>
          <w:sz w:val="28"/>
          <w:szCs w:val="28"/>
        </w:rPr>
        <w:t>attīstību, kā arī enerģijas pieprasījuma samazināšanu</w:t>
      </w:r>
      <w:r w:rsidR="00A93FB0" w:rsidRPr="001F6927">
        <w:rPr>
          <w:rFonts w:ascii="Times New Roman" w:hAnsi="Times New Roman" w:cs="Times New Roman"/>
          <w:sz w:val="28"/>
          <w:szCs w:val="28"/>
        </w:rPr>
        <w:t xml:space="preserve">. </w:t>
      </w:r>
    </w:p>
    <w:p w14:paraId="32DB20BC" w14:textId="1C6674D7" w:rsidR="00A93FB0" w:rsidRPr="001F6927" w:rsidRDefault="00A93FB0" w:rsidP="00386B45">
      <w:pPr>
        <w:spacing w:beforeLines="30" w:before="72"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Apakštēm</w:t>
      </w:r>
      <w:r w:rsidR="00B65F4F">
        <w:rPr>
          <w:rFonts w:ascii="Times New Roman" w:hAnsi="Times New Roman" w:cs="Times New Roman"/>
          <w:sz w:val="28"/>
          <w:szCs w:val="28"/>
        </w:rPr>
        <w:t>ā</w:t>
      </w:r>
      <w:r w:rsidRPr="001F6927">
        <w:rPr>
          <w:rFonts w:ascii="Times New Roman" w:hAnsi="Times New Roman" w:cs="Times New Roman"/>
          <w:sz w:val="28"/>
          <w:szCs w:val="28"/>
        </w:rPr>
        <w:t xml:space="preserve"> „</w:t>
      </w:r>
      <w:r w:rsidR="00B65F4F">
        <w:rPr>
          <w:rFonts w:ascii="Times New Roman" w:hAnsi="Times New Roman" w:cs="Times New Roman"/>
          <w:sz w:val="28"/>
          <w:szCs w:val="28"/>
        </w:rPr>
        <w:t>E</w:t>
      </w:r>
      <w:r w:rsidR="00B65F4F" w:rsidRPr="009A2FA0">
        <w:rPr>
          <w:rFonts w:ascii="Times New Roman" w:hAnsi="Times New Roman" w:cs="Times New Roman"/>
          <w:sz w:val="28"/>
          <w:szCs w:val="28"/>
        </w:rPr>
        <w:t>nergoefektīva dzīvošana</w:t>
      </w:r>
      <w:r w:rsidRPr="001F6927">
        <w:rPr>
          <w:rFonts w:ascii="Times New Roman" w:hAnsi="Times New Roman" w:cs="Times New Roman"/>
          <w:sz w:val="28"/>
          <w:szCs w:val="28"/>
        </w:rPr>
        <w:t xml:space="preserve">” </w:t>
      </w:r>
      <w:r w:rsidR="00C26111">
        <w:rPr>
          <w:rFonts w:ascii="Times New Roman" w:hAnsi="Times New Roman" w:cs="Times New Roman"/>
          <w:sz w:val="28"/>
          <w:szCs w:val="28"/>
        </w:rPr>
        <w:t>plānots izcelt</w:t>
      </w:r>
      <w:r w:rsidR="00C26111" w:rsidRPr="001F6927">
        <w:rPr>
          <w:rFonts w:ascii="Times New Roman" w:hAnsi="Times New Roman" w:cs="Times New Roman"/>
          <w:sz w:val="28"/>
          <w:szCs w:val="28"/>
        </w:rPr>
        <w:t xml:space="preserve"> </w:t>
      </w:r>
      <w:r w:rsidRPr="001F6927">
        <w:rPr>
          <w:rFonts w:ascii="Times New Roman" w:hAnsi="Times New Roman" w:cs="Times New Roman"/>
          <w:sz w:val="28"/>
          <w:szCs w:val="28"/>
        </w:rPr>
        <w:t xml:space="preserve">energoefektivitātes lomu, </w:t>
      </w:r>
      <w:r w:rsidR="00C26111">
        <w:rPr>
          <w:rFonts w:ascii="Times New Roman" w:hAnsi="Times New Roman" w:cs="Times New Roman"/>
          <w:sz w:val="28"/>
          <w:szCs w:val="28"/>
        </w:rPr>
        <w:t>uzsverot nepieciešamību pārskatīt</w:t>
      </w:r>
      <w:r w:rsidR="00C26111" w:rsidRPr="001F6927">
        <w:rPr>
          <w:rFonts w:ascii="Times New Roman" w:hAnsi="Times New Roman" w:cs="Times New Roman"/>
          <w:sz w:val="28"/>
          <w:szCs w:val="28"/>
        </w:rPr>
        <w:t xml:space="preserve"> </w:t>
      </w:r>
      <w:r w:rsidRPr="001F6927">
        <w:rPr>
          <w:rFonts w:ascii="Times New Roman" w:hAnsi="Times New Roman" w:cs="Times New Roman"/>
          <w:sz w:val="28"/>
          <w:szCs w:val="28"/>
        </w:rPr>
        <w:t xml:space="preserve">enerģijas izmantošanas </w:t>
      </w:r>
      <w:r w:rsidR="00C26111">
        <w:rPr>
          <w:rFonts w:ascii="Times New Roman" w:hAnsi="Times New Roman" w:cs="Times New Roman"/>
          <w:sz w:val="28"/>
          <w:szCs w:val="28"/>
        </w:rPr>
        <w:t>efektivitāti</w:t>
      </w:r>
      <w:r w:rsidRPr="001F6927">
        <w:rPr>
          <w:rFonts w:ascii="Times New Roman" w:hAnsi="Times New Roman" w:cs="Times New Roman"/>
          <w:sz w:val="28"/>
          <w:szCs w:val="28"/>
        </w:rPr>
        <w:t>, t.i.</w:t>
      </w:r>
      <w:r w:rsidR="00B65F4F">
        <w:rPr>
          <w:rFonts w:ascii="Times New Roman" w:hAnsi="Times New Roman" w:cs="Times New Roman"/>
          <w:sz w:val="28"/>
          <w:szCs w:val="28"/>
        </w:rPr>
        <w:t>,</w:t>
      </w:r>
      <w:r w:rsidRPr="001F6927">
        <w:rPr>
          <w:rFonts w:ascii="Times New Roman" w:hAnsi="Times New Roman" w:cs="Times New Roman"/>
          <w:sz w:val="28"/>
          <w:szCs w:val="28"/>
        </w:rPr>
        <w:t xml:space="preserve"> sasniegt to pašu procesa, produkta vai pakalpojuma galarezultātu, patērējot pēc iespējas mazāk energoresursus. Pētījumi norāda, ka, izmantojot energoefektivitātes sistēmas mājsaimniecībās, būvēs un rūpniecībā, kā arī transporta sistēmas uzlabošana ļautu uz pusi samazināt enerģijas pieprasījumu valstīm, kurās ir liels enerģijas patēriņš.</w:t>
      </w:r>
    </w:p>
    <w:p w14:paraId="1B83A756" w14:textId="219D2D54" w:rsidR="00A93FB0" w:rsidRDefault="00A93FB0" w:rsidP="00386B45">
      <w:pPr>
        <w:spacing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Apakštēm</w:t>
      </w:r>
      <w:r w:rsidR="00C26111">
        <w:rPr>
          <w:rFonts w:ascii="Times New Roman" w:hAnsi="Times New Roman" w:cs="Times New Roman"/>
          <w:sz w:val="28"/>
          <w:szCs w:val="28"/>
        </w:rPr>
        <w:t>ā</w:t>
      </w:r>
      <w:r w:rsidRPr="001F6927">
        <w:rPr>
          <w:rFonts w:ascii="Times New Roman" w:hAnsi="Times New Roman" w:cs="Times New Roman"/>
          <w:sz w:val="28"/>
          <w:szCs w:val="28"/>
        </w:rPr>
        <w:t xml:space="preserve"> „Enerģija visiem” </w:t>
      </w:r>
      <w:r w:rsidR="00C26111">
        <w:rPr>
          <w:rFonts w:ascii="Times New Roman" w:hAnsi="Times New Roman" w:cs="Times New Roman"/>
          <w:sz w:val="28"/>
          <w:szCs w:val="28"/>
        </w:rPr>
        <w:t>plānots izcelt</w:t>
      </w:r>
      <w:r w:rsidR="00C26111" w:rsidRPr="001F6927">
        <w:rPr>
          <w:rFonts w:ascii="Times New Roman" w:hAnsi="Times New Roman" w:cs="Times New Roman"/>
          <w:sz w:val="28"/>
          <w:szCs w:val="28"/>
        </w:rPr>
        <w:t xml:space="preserve"> </w:t>
      </w:r>
      <w:r w:rsidRPr="001F6927">
        <w:rPr>
          <w:rFonts w:ascii="Times New Roman" w:hAnsi="Times New Roman" w:cs="Times New Roman"/>
          <w:sz w:val="28"/>
          <w:szCs w:val="28"/>
        </w:rPr>
        <w:t xml:space="preserve">enerģijas kā pamatvajadzības un tiesību pieejamību attīstības valstīs. </w:t>
      </w:r>
    </w:p>
    <w:p w14:paraId="24B75C52" w14:textId="77777777" w:rsidR="00A93FB0" w:rsidRPr="001F6927" w:rsidRDefault="007C5192" w:rsidP="007B32C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Plānots, ka </w:t>
      </w:r>
      <w:r w:rsidR="00A93FB0" w:rsidRPr="001F6927">
        <w:rPr>
          <w:rFonts w:ascii="Times New Roman" w:hAnsi="Times New Roman" w:cs="Times New Roman"/>
          <w:sz w:val="28"/>
          <w:szCs w:val="28"/>
        </w:rPr>
        <w:t>„Nākotnes enerģija</w:t>
      </w:r>
      <w:r>
        <w:rPr>
          <w:rFonts w:ascii="Times New Roman" w:hAnsi="Times New Roman" w:cs="Times New Roman"/>
          <w:sz w:val="28"/>
          <w:szCs w:val="28"/>
        </w:rPr>
        <w:t>s</w:t>
      </w:r>
      <w:r w:rsidR="00A93FB0" w:rsidRPr="001F6927">
        <w:rPr>
          <w:rFonts w:ascii="Times New Roman" w:hAnsi="Times New Roman" w:cs="Times New Roman"/>
          <w:sz w:val="28"/>
          <w:szCs w:val="28"/>
        </w:rPr>
        <w:t>”</w:t>
      </w:r>
      <w:r w:rsidR="0054053B">
        <w:rPr>
          <w:rFonts w:ascii="Times New Roman" w:hAnsi="Times New Roman" w:cs="Times New Roman"/>
          <w:sz w:val="28"/>
          <w:szCs w:val="28"/>
        </w:rPr>
        <w:t xml:space="preserve"> galvenā</w:t>
      </w:r>
      <w:r w:rsidR="00A93FB0" w:rsidRPr="001F6927">
        <w:rPr>
          <w:rFonts w:ascii="Times New Roman" w:hAnsi="Times New Roman" w:cs="Times New Roman"/>
          <w:sz w:val="28"/>
          <w:szCs w:val="28"/>
        </w:rPr>
        <w:t xml:space="preserve"> </w:t>
      </w:r>
      <w:r w:rsidRPr="001F6927">
        <w:rPr>
          <w:rFonts w:ascii="Times New Roman" w:hAnsi="Times New Roman" w:cs="Times New Roman"/>
          <w:sz w:val="28"/>
          <w:szCs w:val="28"/>
        </w:rPr>
        <w:t xml:space="preserve">tēma </w:t>
      </w:r>
      <w:r w:rsidR="00A91F0E" w:rsidRPr="001F6927">
        <w:rPr>
          <w:rFonts w:ascii="Times New Roman" w:hAnsi="Times New Roman" w:cs="Times New Roman"/>
          <w:sz w:val="28"/>
          <w:szCs w:val="28"/>
        </w:rPr>
        <w:t>tik</w:t>
      </w:r>
      <w:r w:rsidR="00A93FB0" w:rsidRPr="001F6927">
        <w:rPr>
          <w:rFonts w:ascii="Times New Roman" w:hAnsi="Times New Roman" w:cs="Times New Roman"/>
          <w:sz w:val="28"/>
          <w:szCs w:val="28"/>
        </w:rPr>
        <w:t>s prezentēta četros tematiskos paviljonos:</w:t>
      </w:r>
    </w:p>
    <w:p w14:paraId="295D739B" w14:textId="77777777" w:rsidR="00A93FB0" w:rsidRPr="001F6927" w:rsidRDefault="00A91F0E" w:rsidP="007B32C3">
      <w:pPr>
        <w:pStyle w:val="ListParagraph"/>
        <w:numPr>
          <w:ilvl w:val="0"/>
          <w:numId w:val="3"/>
        </w:numPr>
        <w:spacing w:after="0" w:line="240" w:lineRule="auto"/>
        <w:ind w:left="0" w:firstLine="567"/>
        <w:jc w:val="both"/>
        <w:rPr>
          <w:rFonts w:ascii="Times New Roman" w:hAnsi="Times New Roman" w:cs="Times New Roman"/>
          <w:sz w:val="28"/>
          <w:szCs w:val="28"/>
        </w:rPr>
      </w:pPr>
      <w:r w:rsidRPr="001F6927">
        <w:rPr>
          <w:rFonts w:ascii="Times New Roman" w:hAnsi="Times New Roman" w:cs="Times New Roman"/>
          <w:sz w:val="28"/>
          <w:szCs w:val="28"/>
        </w:rPr>
        <w:t>enerģijas pasaule;</w:t>
      </w:r>
    </w:p>
    <w:p w14:paraId="0128D588" w14:textId="77777777" w:rsidR="00A93FB0" w:rsidRPr="001F6927" w:rsidRDefault="00A91F0E" w:rsidP="00B65F4F">
      <w:pPr>
        <w:pStyle w:val="ListParagraph"/>
        <w:numPr>
          <w:ilvl w:val="0"/>
          <w:numId w:val="3"/>
        </w:numPr>
        <w:spacing w:before="120" w:after="0" w:line="240" w:lineRule="auto"/>
        <w:ind w:left="0" w:firstLine="567"/>
        <w:jc w:val="both"/>
        <w:rPr>
          <w:rFonts w:ascii="Times New Roman" w:hAnsi="Times New Roman" w:cs="Times New Roman"/>
          <w:sz w:val="28"/>
          <w:szCs w:val="28"/>
        </w:rPr>
      </w:pPr>
      <w:r w:rsidRPr="001F6927">
        <w:rPr>
          <w:rFonts w:ascii="Times New Roman" w:hAnsi="Times New Roman" w:cs="Times New Roman"/>
          <w:sz w:val="28"/>
          <w:szCs w:val="28"/>
        </w:rPr>
        <w:t>enerģija dzīvei;</w:t>
      </w:r>
    </w:p>
    <w:p w14:paraId="16947C2E" w14:textId="77777777" w:rsidR="00A93FB0" w:rsidRPr="001F6927" w:rsidRDefault="00A91F0E" w:rsidP="00B65F4F">
      <w:pPr>
        <w:pStyle w:val="ListParagraph"/>
        <w:numPr>
          <w:ilvl w:val="0"/>
          <w:numId w:val="3"/>
        </w:numPr>
        <w:spacing w:before="120" w:after="0" w:line="240" w:lineRule="auto"/>
        <w:ind w:left="0" w:firstLine="567"/>
        <w:jc w:val="both"/>
        <w:rPr>
          <w:rFonts w:ascii="Times New Roman" w:hAnsi="Times New Roman" w:cs="Times New Roman"/>
          <w:sz w:val="28"/>
          <w:szCs w:val="28"/>
        </w:rPr>
      </w:pPr>
      <w:r w:rsidRPr="001F6927">
        <w:rPr>
          <w:rFonts w:ascii="Times New Roman" w:hAnsi="Times New Roman" w:cs="Times New Roman"/>
          <w:sz w:val="28"/>
          <w:szCs w:val="28"/>
        </w:rPr>
        <w:t>enerģija visiem;</w:t>
      </w:r>
    </w:p>
    <w:p w14:paraId="596CA5E9" w14:textId="77777777" w:rsidR="00A93FB0" w:rsidRDefault="00A91F0E" w:rsidP="00B65F4F">
      <w:pPr>
        <w:pStyle w:val="ListParagraph"/>
        <w:numPr>
          <w:ilvl w:val="0"/>
          <w:numId w:val="3"/>
        </w:numPr>
        <w:spacing w:before="120" w:after="0" w:line="240" w:lineRule="auto"/>
        <w:ind w:left="0" w:firstLine="567"/>
        <w:jc w:val="both"/>
        <w:rPr>
          <w:rFonts w:ascii="Times New Roman" w:hAnsi="Times New Roman" w:cs="Times New Roman"/>
          <w:sz w:val="28"/>
          <w:szCs w:val="28"/>
        </w:rPr>
      </w:pPr>
      <w:r w:rsidRPr="001F6927">
        <w:rPr>
          <w:rFonts w:ascii="Times New Roman" w:hAnsi="Times New Roman" w:cs="Times New Roman"/>
          <w:sz w:val="28"/>
          <w:szCs w:val="28"/>
        </w:rPr>
        <w:t>m</w:t>
      </w:r>
      <w:r w:rsidR="00A93FB0" w:rsidRPr="001F6927">
        <w:rPr>
          <w:rFonts w:ascii="Times New Roman" w:hAnsi="Times New Roman" w:cs="Times New Roman"/>
          <w:sz w:val="28"/>
          <w:szCs w:val="28"/>
        </w:rPr>
        <w:t>ana nākotnes enerģija.</w:t>
      </w:r>
    </w:p>
    <w:p w14:paraId="3825BFA3" w14:textId="77777777" w:rsidR="0054053B" w:rsidRPr="0054053B" w:rsidRDefault="0054053B" w:rsidP="00386B45">
      <w:pPr>
        <w:spacing w:beforeLines="60" w:before="144"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Izstādes</w:t>
      </w:r>
      <w:r w:rsidRPr="0054053B">
        <w:rPr>
          <w:rFonts w:ascii="Times New Roman" w:hAnsi="Times New Roman" w:cs="Times New Roman"/>
          <w:sz w:val="28"/>
          <w:szCs w:val="28"/>
        </w:rPr>
        <w:t xml:space="preserve"> komplekss sastāvēs ne tikai jau no minētajiem 4 tematiskajiem paviljoniem, bet arī kultūras un mākslas kompleksa (t.sk. mākslas centrs, Nacionālo dienu norises vieta, kongresu komplekss u.c.), centrālā</w:t>
      </w:r>
      <w:r>
        <w:rPr>
          <w:rFonts w:ascii="Times New Roman" w:hAnsi="Times New Roman" w:cs="Times New Roman"/>
          <w:sz w:val="28"/>
          <w:szCs w:val="28"/>
        </w:rPr>
        <w:t xml:space="preserve"> </w:t>
      </w:r>
      <w:r w:rsidRPr="0054053B">
        <w:rPr>
          <w:rFonts w:ascii="Times New Roman" w:hAnsi="Times New Roman" w:cs="Times New Roman"/>
          <w:sz w:val="28"/>
          <w:szCs w:val="28"/>
        </w:rPr>
        <w:t>- Kazahstānas nacionālā paviljona, kā arī telpas „Astana Expo 2017” dalībnieku izstādēm</w:t>
      </w:r>
      <w:r w:rsidR="00D82BE3">
        <w:rPr>
          <w:rFonts w:ascii="Times New Roman" w:hAnsi="Times New Roman" w:cs="Times New Roman"/>
          <w:sz w:val="28"/>
          <w:szCs w:val="28"/>
        </w:rPr>
        <w:t>.</w:t>
      </w:r>
    </w:p>
    <w:p w14:paraId="1B35A63C" w14:textId="77777777" w:rsidR="00B65F4F" w:rsidRDefault="00B65F4F" w:rsidP="00386B45">
      <w:pPr>
        <w:pStyle w:val="ListParagraph"/>
        <w:spacing w:beforeLines="60" w:before="144"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Attiecīgi potenciālās dalībvalstis, t.sk., Latvija vai organizācijas ir aicinātas izvērtēt iespējas </w:t>
      </w:r>
      <w:r w:rsidRPr="001F6927">
        <w:rPr>
          <w:rFonts w:ascii="Times New Roman" w:hAnsi="Times New Roman" w:cs="Times New Roman"/>
          <w:sz w:val="28"/>
          <w:szCs w:val="28"/>
        </w:rPr>
        <w:t>piedalīties</w:t>
      </w:r>
      <w:r>
        <w:rPr>
          <w:rFonts w:ascii="Times New Roman" w:hAnsi="Times New Roman" w:cs="Times New Roman"/>
          <w:sz w:val="28"/>
          <w:szCs w:val="28"/>
        </w:rPr>
        <w:t xml:space="preserve"> ar savu ekspozīciju</w:t>
      </w:r>
      <w:r w:rsidRPr="001F6927">
        <w:rPr>
          <w:rFonts w:ascii="Times New Roman" w:hAnsi="Times New Roman" w:cs="Times New Roman"/>
          <w:sz w:val="28"/>
          <w:szCs w:val="28"/>
        </w:rPr>
        <w:t xml:space="preserve"> starptautiskajā izstādē</w:t>
      </w:r>
      <w:r>
        <w:rPr>
          <w:rFonts w:ascii="Times New Roman" w:hAnsi="Times New Roman" w:cs="Times New Roman"/>
          <w:sz w:val="28"/>
          <w:szCs w:val="28"/>
        </w:rPr>
        <w:t xml:space="preserve"> un informēt par to </w:t>
      </w:r>
      <w:r w:rsidR="00C93FEC">
        <w:rPr>
          <w:rFonts w:ascii="Times New Roman" w:hAnsi="Times New Roman" w:cs="Times New Roman"/>
          <w:sz w:val="28"/>
          <w:szCs w:val="28"/>
        </w:rPr>
        <w:t>izstādes organizatorus</w:t>
      </w:r>
      <w:r>
        <w:rPr>
          <w:rFonts w:ascii="Times New Roman" w:hAnsi="Times New Roman" w:cs="Times New Roman"/>
          <w:sz w:val="28"/>
          <w:szCs w:val="28"/>
        </w:rPr>
        <w:t>.</w:t>
      </w:r>
      <w:r w:rsidRPr="007C5192">
        <w:rPr>
          <w:rFonts w:ascii="Times New Roman" w:hAnsi="Times New Roman" w:cs="Times New Roman"/>
          <w:sz w:val="28"/>
          <w:szCs w:val="28"/>
        </w:rPr>
        <w:t xml:space="preserve"> </w:t>
      </w:r>
    </w:p>
    <w:p w14:paraId="7437135A" w14:textId="77777777" w:rsidR="00D82BE3" w:rsidRPr="00D621C3" w:rsidRDefault="00D82BE3" w:rsidP="00386B45">
      <w:pPr>
        <w:pStyle w:val="ListParagraph"/>
        <w:spacing w:beforeLines="60" w:before="144" w:after="0" w:line="240" w:lineRule="auto"/>
        <w:ind w:left="0" w:firstLine="567"/>
        <w:jc w:val="both"/>
        <w:rPr>
          <w:rFonts w:ascii="Times New Roman" w:hAnsi="Times New Roman" w:cs="Times New Roman"/>
          <w:sz w:val="28"/>
          <w:szCs w:val="28"/>
        </w:rPr>
      </w:pPr>
      <w:r w:rsidRPr="00D621C3">
        <w:rPr>
          <w:rFonts w:ascii="Times New Roman" w:hAnsi="Times New Roman" w:cs="Times New Roman"/>
          <w:sz w:val="28"/>
          <w:szCs w:val="28"/>
        </w:rPr>
        <w:t xml:space="preserve">Dalības procedūra paredz noteiktu kārtību oficiālā dalībnieka statusa iegūšanas noteikumus, </w:t>
      </w:r>
      <w:r w:rsidRPr="00FC066D">
        <w:rPr>
          <w:rFonts w:ascii="Times New Roman" w:hAnsi="Times New Roman" w:cs="Times New Roman"/>
          <w:sz w:val="28"/>
          <w:szCs w:val="28"/>
        </w:rPr>
        <w:t xml:space="preserve">sākot ar ielūguma </w:t>
      </w:r>
      <w:r w:rsidRPr="00AD4DEF">
        <w:rPr>
          <w:rFonts w:ascii="Times New Roman" w:hAnsi="Times New Roman" w:cs="Times New Roman"/>
          <w:sz w:val="28"/>
          <w:szCs w:val="28"/>
        </w:rPr>
        <w:t>saņemšanu ar uzaicinājumu ņemt dalību „Astana Expo 2017” kā oficiālajam dalībniekam</w:t>
      </w:r>
      <w:r w:rsidRPr="00D621C3">
        <w:rPr>
          <w:rFonts w:ascii="Times New Roman" w:hAnsi="Times New Roman" w:cs="Times New Roman"/>
          <w:sz w:val="28"/>
          <w:szCs w:val="28"/>
        </w:rPr>
        <w:t xml:space="preserve">, oficiālo dalības apstiprināšanu, nacionālā līmeņa komisāra </w:t>
      </w:r>
      <w:r w:rsidR="00D621C3" w:rsidRPr="00D621C3">
        <w:rPr>
          <w:rFonts w:ascii="Times New Roman" w:hAnsi="Times New Roman" w:cs="Times New Roman"/>
          <w:sz w:val="28"/>
          <w:szCs w:val="28"/>
        </w:rPr>
        <w:t xml:space="preserve">nominēšanu,  dalības pieteikuma sagatavošanu un saskaņošanu ar organizatoru (dalībnieka ekspozīcijas satura </w:t>
      </w:r>
      <w:r w:rsidR="00D621C3">
        <w:rPr>
          <w:rFonts w:ascii="Times New Roman" w:hAnsi="Times New Roman" w:cs="Times New Roman"/>
          <w:sz w:val="28"/>
          <w:szCs w:val="28"/>
        </w:rPr>
        <w:t>iz</w:t>
      </w:r>
      <w:r w:rsidR="00D621C3" w:rsidRPr="00D621C3">
        <w:rPr>
          <w:rFonts w:ascii="Times New Roman" w:hAnsi="Times New Roman" w:cs="Times New Roman"/>
          <w:sz w:val="28"/>
          <w:szCs w:val="28"/>
        </w:rPr>
        <w:t xml:space="preserve">klāsts, ieskats par pieeju izstādes tēmai, </w:t>
      </w:r>
      <w:r w:rsidRPr="00D621C3">
        <w:rPr>
          <w:rFonts w:ascii="Times New Roman" w:hAnsi="Times New Roman" w:cs="Times New Roman"/>
          <w:sz w:val="28"/>
          <w:szCs w:val="28"/>
        </w:rPr>
        <w:t>nepieciešamā paviljona izmēr</w:t>
      </w:r>
      <w:r w:rsidR="00D621C3" w:rsidRPr="00D621C3">
        <w:rPr>
          <w:rFonts w:ascii="Times New Roman" w:hAnsi="Times New Roman" w:cs="Times New Roman"/>
          <w:sz w:val="28"/>
          <w:szCs w:val="28"/>
        </w:rPr>
        <w:t>s</w:t>
      </w:r>
      <w:r w:rsidRPr="00D621C3">
        <w:rPr>
          <w:rFonts w:ascii="Times New Roman" w:hAnsi="Times New Roman" w:cs="Times New Roman"/>
          <w:sz w:val="28"/>
          <w:szCs w:val="28"/>
        </w:rPr>
        <w:t xml:space="preserve"> un dizain</w:t>
      </w:r>
      <w:r w:rsidR="00D621C3" w:rsidRPr="00D621C3">
        <w:rPr>
          <w:rFonts w:ascii="Times New Roman" w:hAnsi="Times New Roman" w:cs="Times New Roman"/>
          <w:sz w:val="28"/>
          <w:szCs w:val="28"/>
        </w:rPr>
        <w:t xml:space="preserve">s, </w:t>
      </w:r>
      <w:r w:rsidR="00D621C3">
        <w:rPr>
          <w:rFonts w:ascii="Times New Roman" w:hAnsi="Times New Roman" w:cs="Times New Roman"/>
          <w:sz w:val="28"/>
          <w:szCs w:val="28"/>
        </w:rPr>
        <w:t xml:space="preserve">izvietojamās </w:t>
      </w:r>
      <w:r w:rsidR="00D621C3" w:rsidRPr="00D621C3">
        <w:rPr>
          <w:rFonts w:ascii="Times New Roman" w:hAnsi="Times New Roman" w:cs="Times New Roman"/>
          <w:sz w:val="28"/>
          <w:szCs w:val="28"/>
        </w:rPr>
        <w:t>ekspozīcijas) un beidzot ar d</w:t>
      </w:r>
      <w:r w:rsidRPr="00D621C3">
        <w:rPr>
          <w:rFonts w:ascii="Times New Roman" w:hAnsi="Times New Roman" w:cs="Times New Roman"/>
          <w:sz w:val="28"/>
          <w:szCs w:val="28"/>
        </w:rPr>
        <w:t>alības līguma parakstīšan</w:t>
      </w:r>
      <w:r w:rsidR="00D621C3" w:rsidRPr="00D621C3">
        <w:rPr>
          <w:rFonts w:ascii="Times New Roman" w:hAnsi="Times New Roman" w:cs="Times New Roman"/>
          <w:sz w:val="28"/>
          <w:szCs w:val="28"/>
        </w:rPr>
        <w:t>u un dalību izstādē</w:t>
      </w:r>
      <w:r w:rsidRPr="00D621C3">
        <w:rPr>
          <w:rFonts w:ascii="Times New Roman" w:hAnsi="Times New Roman" w:cs="Times New Roman"/>
          <w:sz w:val="28"/>
          <w:szCs w:val="28"/>
        </w:rPr>
        <w:t>.</w:t>
      </w:r>
    </w:p>
    <w:p w14:paraId="7FEE4F70" w14:textId="77777777" w:rsidR="00735459" w:rsidRPr="00735459" w:rsidRDefault="00735459" w:rsidP="00386B45">
      <w:pPr>
        <w:spacing w:beforeLines="60" w:before="144" w:after="0" w:line="240" w:lineRule="auto"/>
        <w:contextualSpacing/>
        <w:jc w:val="both"/>
        <w:rPr>
          <w:rFonts w:ascii="Times New Roman" w:hAnsi="Times New Roman" w:cs="Times New Roman"/>
          <w:i/>
          <w:sz w:val="28"/>
          <w:szCs w:val="28"/>
          <w:u w:val="single"/>
        </w:rPr>
      </w:pPr>
      <w:r w:rsidRPr="00735459">
        <w:rPr>
          <w:rFonts w:ascii="Times New Roman" w:hAnsi="Times New Roman" w:cs="Times New Roman"/>
          <w:i/>
          <w:sz w:val="28"/>
          <w:szCs w:val="28"/>
          <w:u w:val="single"/>
        </w:rPr>
        <w:t>Laika grafiks</w:t>
      </w:r>
    </w:p>
    <w:p w14:paraId="746A83AE" w14:textId="77777777" w:rsidR="00735459" w:rsidRPr="001F6927" w:rsidRDefault="00735459" w:rsidP="00386B45">
      <w:pPr>
        <w:spacing w:beforeLines="60" w:before="144" w:after="0" w:line="240" w:lineRule="auto"/>
        <w:ind w:firstLine="567"/>
        <w:contextualSpacing/>
        <w:jc w:val="both"/>
        <w:rPr>
          <w:rFonts w:ascii="Times New Roman" w:hAnsi="Times New Roman" w:cs="Times New Roman"/>
          <w:sz w:val="28"/>
          <w:szCs w:val="28"/>
        </w:rPr>
      </w:pPr>
      <w:r w:rsidRPr="001F6927">
        <w:rPr>
          <w:rFonts w:ascii="Times New Roman" w:hAnsi="Times New Roman" w:cs="Times New Roman"/>
          <w:sz w:val="28"/>
          <w:szCs w:val="28"/>
        </w:rPr>
        <w:t xml:space="preserve">Izstādes </w:t>
      </w:r>
      <w:r w:rsidR="00F43960" w:rsidRPr="001F6927">
        <w:rPr>
          <w:rFonts w:ascii="Times New Roman" w:hAnsi="Times New Roman" w:cs="Times New Roman"/>
          <w:sz w:val="28"/>
          <w:szCs w:val="28"/>
        </w:rPr>
        <w:t xml:space="preserve">„Astana Expo 2017” </w:t>
      </w:r>
      <w:r w:rsidRPr="001F6927">
        <w:rPr>
          <w:rFonts w:ascii="Times New Roman" w:hAnsi="Times New Roman" w:cs="Times New Roman"/>
          <w:sz w:val="28"/>
          <w:szCs w:val="28"/>
        </w:rPr>
        <w:t>organizēšanas laika grafiks tiek iedalīts 3 posmos:</w:t>
      </w:r>
    </w:p>
    <w:p w14:paraId="354A9E20" w14:textId="25E0C576" w:rsidR="00735459" w:rsidRPr="00735459" w:rsidRDefault="00F43960" w:rsidP="00386B45">
      <w:pPr>
        <w:pStyle w:val="ListParagraph"/>
        <w:numPr>
          <w:ilvl w:val="0"/>
          <w:numId w:val="1"/>
        </w:numPr>
        <w:spacing w:after="0" w:line="240" w:lineRule="auto"/>
        <w:ind w:left="992" w:hanging="425"/>
        <w:jc w:val="both"/>
        <w:rPr>
          <w:rFonts w:ascii="Times New Roman" w:hAnsi="Times New Roman" w:cs="Times New Roman"/>
          <w:sz w:val="28"/>
          <w:szCs w:val="28"/>
        </w:rPr>
      </w:pPr>
      <w:r>
        <w:rPr>
          <w:rFonts w:ascii="Times New Roman" w:hAnsi="Times New Roman" w:cs="Times New Roman"/>
          <w:sz w:val="28"/>
          <w:szCs w:val="28"/>
        </w:rPr>
        <w:t>izstādes</w:t>
      </w:r>
      <w:r w:rsidRPr="00735459">
        <w:rPr>
          <w:rFonts w:ascii="Times New Roman" w:hAnsi="Times New Roman" w:cs="Times New Roman"/>
          <w:sz w:val="28"/>
          <w:szCs w:val="28"/>
        </w:rPr>
        <w:t xml:space="preserve"> </w:t>
      </w:r>
      <w:r w:rsidR="00735459" w:rsidRPr="00735459">
        <w:rPr>
          <w:rFonts w:ascii="Times New Roman" w:hAnsi="Times New Roman" w:cs="Times New Roman"/>
          <w:sz w:val="28"/>
          <w:szCs w:val="28"/>
        </w:rPr>
        <w:t>sagatavošanās periods:</w:t>
      </w:r>
    </w:p>
    <w:p w14:paraId="0AA10B78" w14:textId="77777777" w:rsidR="00F43960" w:rsidRDefault="00735459" w:rsidP="008301A9">
      <w:pPr>
        <w:pStyle w:val="ListParagraph"/>
        <w:numPr>
          <w:ilvl w:val="1"/>
          <w:numId w:val="1"/>
        </w:numPr>
        <w:spacing w:beforeLines="60" w:before="144" w:after="0" w:line="240" w:lineRule="auto"/>
        <w:ind w:left="993" w:hanging="426"/>
        <w:jc w:val="both"/>
        <w:rPr>
          <w:rFonts w:ascii="Times New Roman" w:hAnsi="Times New Roman" w:cs="Times New Roman"/>
          <w:sz w:val="28"/>
          <w:szCs w:val="28"/>
        </w:rPr>
      </w:pPr>
      <w:r w:rsidRPr="00735459">
        <w:rPr>
          <w:rFonts w:ascii="Times New Roman" w:hAnsi="Times New Roman" w:cs="Times New Roman"/>
          <w:sz w:val="28"/>
          <w:szCs w:val="28"/>
        </w:rPr>
        <w:t xml:space="preserve"> </w:t>
      </w:r>
      <w:r w:rsidRPr="00F50CF9">
        <w:rPr>
          <w:rFonts w:ascii="Times New Roman" w:hAnsi="Times New Roman" w:cs="Times New Roman"/>
          <w:i/>
          <w:sz w:val="28"/>
          <w:szCs w:val="28"/>
        </w:rPr>
        <w:t>skaidrojošais</w:t>
      </w:r>
      <w:r w:rsidRPr="00735459">
        <w:rPr>
          <w:rFonts w:ascii="Times New Roman" w:hAnsi="Times New Roman" w:cs="Times New Roman"/>
          <w:sz w:val="28"/>
          <w:szCs w:val="28"/>
        </w:rPr>
        <w:t xml:space="preserve">: 2013.janvāris – 2014.gada decembris </w:t>
      </w:r>
    </w:p>
    <w:p w14:paraId="5F41A5E7" w14:textId="77777777" w:rsidR="00735459" w:rsidRPr="00735459" w:rsidRDefault="00735459" w:rsidP="008301A9">
      <w:pPr>
        <w:pStyle w:val="ListParagraph"/>
        <w:spacing w:beforeLines="60" w:before="144" w:after="0" w:line="240" w:lineRule="auto"/>
        <w:ind w:left="993"/>
        <w:jc w:val="both"/>
        <w:rPr>
          <w:rFonts w:ascii="Times New Roman" w:hAnsi="Times New Roman" w:cs="Times New Roman"/>
          <w:sz w:val="28"/>
          <w:szCs w:val="28"/>
        </w:rPr>
      </w:pPr>
      <w:r w:rsidRPr="00735459">
        <w:rPr>
          <w:rFonts w:ascii="Times New Roman" w:hAnsi="Times New Roman" w:cs="Times New Roman"/>
          <w:sz w:val="28"/>
          <w:szCs w:val="28"/>
        </w:rPr>
        <w:t>(iepazīstināšana ar “Expo 2017” nacionālā un starptautiskā līmenī);</w:t>
      </w:r>
    </w:p>
    <w:p w14:paraId="7486684E" w14:textId="77777777" w:rsidR="00F43960" w:rsidRDefault="00735459" w:rsidP="008301A9">
      <w:pPr>
        <w:pStyle w:val="ListParagraph"/>
        <w:numPr>
          <w:ilvl w:val="1"/>
          <w:numId w:val="1"/>
        </w:numPr>
        <w:spacing w:beforeLines="60" w:before="144" w:after="0" w:line="240" w:lineRule="auto"/>
        <w:ind w:left="993" w:hanging="426"/>
        <w:jc w:val="both"/>
        <w:rPr>
          <w:rFonts w:ascii="Times New Roman" w:hAnsi="Times New Roman" w:cs="Times New Roman"/>
          <w:sz w:val="28"/>
          <w:szCs w:val="28"/>
        </w:rPr>
      </w:pPr>
      <w:r w:rsidRPr="00735459">
        <w:rPr>
          <w:rFonts w:ascii="Times New Roman" w:hAnsi="Times New Roman" w:cs="Times New Roman"/>
          <w:sz w:val="28"/>
          <w:szCs w:val="28"/>
        </w:rPr>
        <w:t xml:space="preserve"> </w:t>
      </w:r>
      <w:r w:rsidRPr="00F50CF9">
        <w:rPr>
          <w:rFonts w:ascii="Times New Roman" w:hAnsi="Times New Roman" w:cs="Times New Roman"/>
          <w:i/>
          <w:sz w:val="28"/>
          <w:szCs w:val="28"/>
        </w:rPr>
        <w:t>iesaistīšanās</w:t>
      </w:r>
      <w:r w:rsidRPr="00735459">
        <w:rPr>
          <w:rFonts w:ascii="Times New Roman" w:hAnsi="Times New Roman" w:cs="Times New Roman"/>
          <w:sz w:val="28"/>
          <w:szCs w:val="28"/>
        </w:rPr>
        <w:t xml:space="preserve">: 2015.gada janvāris – decembris </w:t>
      </w:r>
    </w:p>
    <w:p w14:paraId="635C6CEC" w14:textId="77777777" w:rsidR="00735459" w:rsidRPr="00735459" w:rsidRDefault="00735459" w:rsidP="008301A9">
      <w:pPr>
        <w:pStyle w:val="ListParagraph"/>
        <w:spacing w:beforeLines="60" w:before="144" w:after="0" w:line="240" w:lineRule="auto"/>
        <w:ind w:left="993"/>
        <w:jc w:val="both"/>
        <w:rPr>
          <w:rFonts w:ascii="Times New Roman" w:hAnsi="Times New Roman" w:cs="Times New Roman"/>
          <w:sz w:val="28"/>
          <w:szCs w:val="28"/>
        </w:rPr>
      </w:pPr>
      <w:r w:rsidRPr="00735459">
        <w:rPr>
          <w:rFonts w:ascii="Times New Roman" w:hAnsi="Times New Roman" w:cs="Times New Roman"/>
          <w:sz w:val="28"/>
          <w:szCs w:val="28"/>
        </w:rPr>
        <w:t>(“Expo 2017” veicināšana</w:t>
      </w:r>
      <w:r w:rsidR="00F50CF9">
        <w:rPr>
          <w:rFonts w:ascii="Times New Roman" w:hAnsi="Times New Roman" w:cs="Times New Roman"/>
          <w:sz w:val="28"/>
          <w:szCs w:val="28"/>
        </w:rPr>
        <w:t>s aktivitātes,</w:t>
      </w:r>
      <w:r w:rsidR="00F50CF9" w:rsidRPr="00F50CF9">
        <w:rPr>
          <w:rFonts w:ascii="Times New Roman" w:hAnsi="Times New Roman" w:cs="Times New Roman"/>
          <w:sz w:val="28"/>
          <w:szCs w:val="28"/>
        </w:rPr>
        <w:t xml:space="preserve"> </w:t>
      </w:r>
      <w:r w:rsidR="00F50CF9">
        <w:rPr>
          <w:rFonts w:ascii="Times New Roman" w:hAnsi="Times New Roman" w:cs="Times New Roman"/>
          <w:sz w:val="28"/>
          <w:szCs w:val="28"/>
        </w:rPr>
        <w:t>dalībnieku pārstāvošā komisāra nozīmēšana, izvēlēto konceptu saskaņošana</w:t>
      </w:r>
      <w:r w:rsidRPr="00735459">
        <w:rPr>
          <w:rFonts w:ascii="Times New Roman" w:hAnsi="Times New Roman" w:cs="Times New Roman"/>
          <w:sz w:val="28"/>
          <w:szCs w:val="28"/>
        </w:rPr>
        <w:t>);</w:t>
      </w:r>
    </w:p>
    <w:p w14:paraId="6BCB8BD9" w14:textId="77777777" w:rsidR="00F43960" w:rsidRDefault="00735459" w:rsidP="008301A9">
      <w:pPr>
        <w:pStyle w:val="ListParagraph"/>
        <w:numPr>
          <w:ilvl w:val="1"/>
          <w:numId w:val="1"/>
        </w:numPr>
        <w:spacing w:beforeLines="60" w:before="144" w:after="0" w:line="240" w:lineRule="auto"/>
        <w:ind w:left="993" w:hanging="426"/>
        <w:jc w:val="both"/>
        <w:rPr>
          <w:rFonts w:ascii="Times New Roman" w:hAnsi="Times New Roman" w:cs="Times New Roman"/>
          <w:sz w:val="28"/>
          <w:szCs w:val="28"/>
        </w:rPr>
      </w:pPr>
      <w:r w:rsidRPr="00735459">
        <w:rPr>
          <w:rFonts w:ascii="Times New Roman" w:hAnsi="Times New Roman" w:cs="Times New Roman"/>
          <w:sz w:val="28"/>
          <w:szCs w:val="28"/>
        </w:rPr>
        <w:t xml:space="preserve"> </w:t>
      </w:r>
      <w:r w:rsidRPr="00F50CF9">
        <w:rPr>
          <w:rFonts w:ascii="Times New Roman" w:hAnsi="Times New Roman" w:cs="Times New Roman"/>
          <w:i/>
          <w:sz w:val="28"/>
          <w:szCs w:val="28"/>
        </w:rPr>
        <w:t>organizēšana</w:t>
      </w:r>
      <w:r w:rsidRPr="00735459">
        <w:rPr>
          <w:rFonts w:ascii="Times New Roman" w:hAnsi="Times New Roman" w:cs="Times New Roman"/>
          <w:sz w:val="28"/>
          <w:szCs w:val="28"/>
        </w:rPr>
        <w:t xml:space="preserve">: 2016.gada janvāris – augusts </w:t>
      </w:r>
    </w:p>
    <w:p w14:paraId="7AC0F62B" w14:textId="7D3A603F" w:rsidR="00735459" w:rsidRPr="007B32C3" w:rsidRDefault="007B32C3" w:rsidP="00386B45">
      <w:pPr>
        <w:spacing w:after="0" w:line="240" w:lineRule="auto"/>
        <w:ind w:left="992"/>
        <w:contextualSpacing/>
        <w:jc w:val="both"/>
        <w:rPr>
          <w:rFonts w:ascii="Times New Roman" w:hAnsi="Times New Roman" w:cs="Times New Roman"/>
          <w:sz w:val="28"/>
          <w:szCs w:val="28"/>
        </w:rPr>
      </w:pPr>
      <w:r>
        <w:rPr>
          <w:rFonts w:ascii="Times New Roman" w:hAnsi="Times New Roman" w:cs="Times New Roman"/>
          <w:sz w:val="28"/>
          <w:szCs w:val="28"/>
        </w:rPr>
        <w:t>(</w:t>
      </w:r>
      <w:r w:rsidR="00735459" w:rsidRPr="007B32C3">
        <w:rPr>
          <w:rFonts w:ascii="Times New Roman" w:hAnsi="Times New Roman" w:cs="Times New Roman"/>
          <w:sz w:val="28"/>
          <w:szCs w:val="28"/>
        </w:rPr>
        <w:t>gatavošanās “Expo 2017”</w:t>
      </w:r>
      <w:r w:rsidR="00F43960" w:rsidRPr="007B32C3">
        <w:rPr>
          <w:rFonts w:ascii="Times New Roman" w:hAnsi="Times New Roman" w:cs="Times New Roman"/>
          <w:sz w:val="28"/>
          <w:szCs w:val="28"/>
        </w:rPr>
        <w:t>, paviljonu iekārtošana</w:t>
      </w:r>
      <w:r>
        <w:rPr>
          <w:rFonts w:ascii="Times New Roman" w:hAnsi="Times New Roman" w:cs="Times New Roman"/>
          <w:sz w:val="28"/>
          <w:szCs w:val="28"/>
        </w:rPr>
        <w:t>)</w:t>
      </w:r>
      <w:r w:rsidR="00735459" w:rsidRPr="007B32C3">
        <w:rPr>
          <w:rFonts w:ascii="Times New Roman" w:hAnsi="Times New Roman" w:cs="Times New Roman"/>
          <w:sz w:val="28"/>
          <w:szCs w:val="28"/>
        </w:rPr>
        <w:t>;</w:t>
      </w:r>
    </w:p>
    <w:p w14:paraId="57B0D704" w14:textId="3F60F7D6" w:rsidR="00735459" w:rsidRPr="00735459" w:rsidRDefault="00735459" w:rsidP="008301A9">
      <w:pPr>
        <w:pStyle w:val="ListParagraph"/>
        <w:numPr>
          <w:ilvl w:val="0"/>
          <w:numId w:val="1"/>
        </w:numPr>
        <w:spacing w:after="0" w:line="240" w:lineRule="auto"/>
        <w:ind w:left="993" w:hanging="426"/>
        <w:jc w:val="both"/>
        <w:rPr>
          <w:rFonts w:ascii="Times New Roman" w:hAnsi="Times New Roman" w:cs="Times New Roman"/>
          <w:sz w:val="28"/>
          <w:szCs w:val="28"/>
        </w:rPr>
      </w:pPr>
      <w:r w:rsidRPr="00735459">
        <w:rPr>
          <w:rFonts w:ascii="Times New Roman" w:hAnsi="Times New Roman" w:cs="Times New Roman"/>
          <w:sz w:val="28"/>
          <w:szCs w:val="28"/>
        </w:rPr>
        <w:t>izstādes norises posms: 2016.gada augusts – 2017.gada augusts (“Expo 2017” apmeklēšana);</w:t>
      </w:r>
    </w:p>
    <w:p w14:paraId="363596FC" w14:textId="06108FCF" w:rsidR="00735459" w:rsidRPr="00735459" w:rsidRDefault="00F43960" w:rsidP="008301A9">
      <w:pPr>
        <w:pStyle w:val="ListParagraph"/>
        <w:numPr>
          <w:ilvl w:val="0"/>
          <w:numId w:val="1"/>
        </w:numPr>
        <w:spacing w:before="120"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p</w:t>
      </w:r>
      <w:r w:rsidRPr="00735459">
        <w:rPr>
          <w:rFonts w:ascii="Times New Roman" w:hAnsi="Times New Roman" w:cs="Times New Roman"/>
          <w:sz w:val="28"/>
          <w:szCs w:val="28"/>
        </w:rPr>
        <w:t xml:space="preserve">ēc </w:t>
      </w:r>
      <w:r w:rsidR="00735459" w:rsidRPr="00735459">
        <w:rPr>
          <w:rFonts w:ascii="Times New Roman" w:hAnsi="Times New Roman" w:cs="Times New Roman"/>
          <w:sz w:val="28"/>
          <w:szCs w:val="28"/>
        </w:rPr>
        <w:t>izstādes posms: 2017.gada septembris.</w:t>
      </w:r>
    </w:p>
    <w:p w14:paraId="40EE15EB" w14:textId="77777777" w:rsidR="00B020E2" w:rsidRPr="00D82BE3" w:rsidRDefault="00B020E2" w:rsidP="00386B45">
      <w:pPr>
        <w:spacing w:beforeLines="60" w:before="144" w:after="0" w:line="240" w:lineRule="auto"/>
        <w:contextualSpacing/>
        <w:jc w:val="both"/>
        <w:rPr>
          <w:rFonts w:ascii="Times New Roman" w:hAnsi="Times New Roman" w:cs="Times New Roman"/>
          <w:i/>
          <w:sz w:val="28"/>
          <w:szCs w:val="28"/>
          <w:u w:val="single"/>
        </w:rPr>
      </w:pPr>
      <w:r w:rsidRPr="00D82BE3">
        <w:rPr>
          <w:rFonts w:ascii="Times New Roman" w:hAnsi="Times New Roman" w:cs="Times New Roman"/>
          <w:i/>
          <w:sz w:val="28"/>
          <w:szCs w:val="28"/>
          <w:u w:val="single"/>
        </w:rPr>
        <w:t>Dalības izmaksas</w:t>
      </w:r>
    </w:p>
    <w:p w14:paraId="08CBA015" w14:textId="22F93F30" w:rsidR="009A54A7" w:rsidRDefault="007B32C3" w:rsidP="00386B45">
      <w:pPr>
        <w:spacing w:beforeLines="60" w:before="144"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Izstādes </w:t>
      </w:r>
      <w:r w:rsidR="00CE3714" w:rsidRPr="001F6927">
        <w:rPr>
          <w:rFonts w:ascii="Times New Roman" w:hAnsi="Times New Roman" w:cs="Times New Roman"/>
          <w:sz w:val="28"/>
          <w:szCs w:val="28"/>
        </w:rPr>
        <w:t>„Astana Expo 2017” organizators nodrošina nepieciešamo infrastruktūru, tādejādi dalībniekiem nav jāceļ savi paviljoni</w:t>
      </w:r>
      <w:r w:rsidR="009A54A7">
        <w:rPr>
          <w:rFonts w:ascii="Times New Roman" w:hAnsi="Times New Roman" w:cs="Times New Roman"/>
          <w:sz w:val="28"/>
          <w:szCs w:val="28"/>
        </w:rPr>
        <w:t>,</w:t>
      </w:r>
      <w:r w:rsidR="00CE3714" w:rsidRPr="001F6927">
        <w:rPr>
          <w:rFonts w:ascii="Times New Roman" w:hAnsi="Times New Roman" w:cs="Times New Roman"/>
          <w:sz w:val="28"/>
          <w:szCs w:val="28"/>
        </w:rPr>
        <w:t xml:space="preserve"> </w:t>
      </w:r>
      <w:r w:rsidR="009A54A7">
        <w:rPr>
          <w:rFonts w:ascii="Times New Roman" w:hAnsi="Times New Roman" w:cs="Times New Roman"/>
          <w:sz w:val="28"/>
          <w:szCs w:val="28"/>
        </w:rPr>
        <w:t xml:space="preserve">bet ir </w:t>
      </w:r>
      <w:r w:rsidR="00CE3714" w:rsidRPr="001F6927">
        <w:rPr>
          <w:rFonts w:ascii="Times New Roman" w:hAnsi="Times New Roman" w:cs="Times New Roman"/>
          <w:sz w:val="28"/>
          <w:szCs w:val="28"/>
        </w:rPr>
        <w:t>jānodrošina nacionālo paviljonu iekārtošanu</w:t>
      </w:r>
      <w:r w:rsidR="007C5192">
        <w:rPr>
          <w:rFonts w:ascii="Times New Roman" w:hAnsi="Times New Roman" w:cs="Times New Roman"/>
          <w:sz w:val="28"/>
          <w:szCs w:val="28"/>
        </w:rPr>
        <w:t>,</w:t>
      </w:r>
      <w:r w:rsidR="00CE3714" w:rsidRPr="001F6927">
        <w:rPr>
          <w:rFonts w:ascii="Times New Roman" w:hAnsi="Times New Roman" w:cs="Times New Roman"/>
          <w:sz w:val="28"/>
          <w:szCs w:val="28"/>
        </w:rPr>
        <w:t xml:space="preserve"> saskaņā ar dalībnieka izvēlēto izstādes apakštēmu. </w:t>
      </w:r>
    </w:p>
    <w:p w14:paraId="06C8F297" w14:textId="22709A1A" w:rsidR="00B020E2" w:rsidRPr="001F6927" w:rsidRDefault="009A54A7" w:rsidP="00386B45">
      <w:pPr>
        <w:spacing w:beforeLines="60" w:before="144"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Atbilstoši izstādes organizēšanas nosacījumiem, o</w:t>
      </w:r>
      <w:r w:rsidRPr="001F6927">
        <w:rPr>
          <w:rFonts w:ascii="Times New Roman" w:hAnsi="Times New Roman" w:cs="Times New Roman"/>
          <w:sz w:val="28"/>
          <w:szCs w:val="28"/>
        </w:rPr>
        <w:t>ficiālais dalībnieks ir atbildīgs par tiem izdevumiem, kas radušies ekspozīcijas telpu iekārtošanas</w:t>
      </w:r>
      <w:r>
        <w:rPr>
          <w:rFonts w:ascii="Times New Roman" w:hAnsi="Times New Roman" w:cs="Times New Roman"/>
          <w:sz w:val="28"/>
          <w:szCs w:val="28"/>
        </w:rPr>
        <w:t xml:space="preserve"> un apsaimniekošanas</w:t>
      </w:r>
      <w:r w:rsidRPr="001F6927">
        <w:rPr>
          <w:rFonts w:ascii="Times New Roman" w:hAnsi="Times New Roman" w:cs="Times New Roman"/>
          <w:sz w:val="28"/>
          <w:szCs w:val="28"/>
        </w:rPr>
        <w:t xml:space="preserve"> rezultātā</w:t>
      </w:r>
      <w:r>
        <w:rPr>
          <w:rFonts w:ascii="Times New Roman" w:hAnsi="Times New Roman" w:cs="Times New Roman"/>
          <w:sz w:val="28"/>
          <w:szCs w:val="28"/>
        </w:rPr>
        <w:t xml:space="preserve">. </w:t>
      </w:r>
      <w:r w:rsidR="00B020E2" w:rsidRPr="001F6927">
        <w:rPr>
          <w:rFonts w:ascii="Times New Roman" w:hAnsi="Times New Roman" w:cs="Times New Roman"/>
          <w:sz w:val="28"/>
          <w:szCs w:val="28"/>
        </w:rPr>
        <w:t xml:space="preserve">Pēc izstādes beigām paviljona telpas </w:t>
      </w:r>
      <w:r w:rsidR="00A91F0E" w:rsidRPr="001F6927">
        <w:rPr>
          <w:rFonts w:ascii="Times New Roman" w:hAnsi="Times New Roman" w:cs="Times New Roman"/>
          <w:sz w:val="28"/>
          <w:szCs w:val="28"/>
        </w:rPr>
        <w:t>o</w:t>
      </w:r>
      <w:r w:rsidR="00B020E2" w:rsidRPr="001F6927">
        <w:rPr>
          <w:rFonts w:ascii="Times New Roman" w:hAnsi="Times New Roman" w:cs="Times New Roman"/>
          <w:sz w:val="28"/>
          <w:szCs w:val="28"/>
        </w:rPr>
        <w:t xml:space="preserve">rganizatoram jānodod tādā </w:t>
      </w:r>
      <w:r w:rsidR="00A91F0E" w:rsidRPr="001F6927">
        <w:rPr>
          <w:rFonts w:ascii="Times New Roman" w:hAnsi="Times New Roman" w:cs="Times New Roman"/>
          <w:sz w:val="28"/>
          <w:szCs w:val="28"/>
        </w:rPr>
        <w:t>pat</w:t>
      </w:r>
      <w:r w:rsidR="00B020E2" w:rsidRPr="001F6927">
        <w:rPr>
          <w:rFonts w:ascii="Times New Roman" w:hAnsi="Times New Roman" w:cs="Times New Roman"/>
          <w:sz w:val="28"/>
          <w:szCs w:val="28"/>
        </w:rPr>
        <w:t xml:space="preserve"> stāvoklī, kādā </w:t>
      </w:r>
      <w:r w:rsidR="00A91F0E" w:rsidRPr="001F6927">
        <w:rPr>
          <w:rFonts w:ascii="Times New Roman" w:hAnsi="Times New Roman" w:cs="Times New Roman"/>
          <w:sz w:val="28"/>
          <w:szCs w:val="28"/>
        </w:rPr>
        <w:t xml:space="preserve">tās </w:t>
      </w:r>
      <w:r w:rsidR="00B020E2" w:rsidRPr="001F6927">
        <w:rPr>
          <w:rFonts w:ascii="Times New Roman" w:hAnsi="Times New Roman" w:cs="Times New Roman"/>
          <w:sz w:val="28"/>
          <w:szCs w:val="28"/>
        </w:rPr>
        <w:t>tika saņemtas.</w:t>
      </w:r>
    </w:p>
    <w:p w14:paraId="660F3DBB" w14:textId="77777777" w:rsidR="00F50CF9" w:rsidRDefault="00B020E2" w:rsidP="00386B45">
      <w:pPr>
        <w:spacing w:beforeLines="60" w:before="144" w:after="0" w:line="240" w:lineRule="auto"/>
        <w:ind w:firstLine="567"/>
        <w:contextualSpacing/>
        <w:jc w:val="both"/>
        <w:rPr>
          <w:rFonts w:ascii="Times New Roman" w:hAnsi="Times New Roman" w:cs="Times New Roman"/>
          <w:sz w:val="28"/>
          <w:szCs w:val="28"/>
        </w:rPr>
      </w:pPr>
      <w:r w:rsidRPr="001F6927">
        <w:rPr>
          <w:rFonts w:ascii="Times New Roman" w:hAnsi="Times New Roman" w:cs="Times New Roman"/>
          <w:sz w:val="28"/>
          <w:szCs w:val="28"/>
        </w:rPr>
        <w:t xml:space="preserve">Lai sniegtu ieskatu aptuvenajā budžeta plānošanā, </w:t>
      </w:r>
      <w:r w:rsidR="00F50CF9">
        <w:rPr>
          <w:rFonts w:ascii="Times New Roman" w:hAnsi="Times New Roman" w:cs="Times New Roman"/>
          <w:sz w:val="28"/>
          <w:szCs w:val="28"/>
        </w:rPr>
        <w:t xml:space="preserve">starptautiskās </w:t>
      </w:r>
      <w:r w:rsidR="00A91F0E" w:rsidRPr="001F6927">
        <w:rPr>
          <w:rFonts w:ascii="Times New Roman" w:hAnsi="Times New Roman" w:cs="Times New Roman"/>
          <w:sz w:val="28"/>
          <w:szCs w:val="28"/>
        </w:rPr>
        <w:t>izstādes „Astana Expo 2017” o</w:t>
      </w:r>
      <w:r w:rsidRPr="001F6927">
        <w:rPr>
          <w:rFonts w:ascii="Times New Roman" w:hAnsi="Times New Roman" w:cs="Times New Roman"/>
          <w:sz w:val="28"/>
          <w:szCs w:val="28"/>
        </w:rPr>
        <w:t>rganizators</w:t>
      </w:r>
      <w:r w:rsidR="00C26111">
        <w:rPr>
          <w:rFonts w:ascii="Times New Roman" w:hAnsi="Times New Roman" w:cs="Times New Roman"/>
          <w:sz w:val="28"/>
          <w:szCs w:val="28"/>
        </w:rPr>
        <w:t xml:space="preserve"> ir</w:t>
      </w:r>
      <w:r w:rsidRPr="001F6927">
        <w:rPr>
          <w:rFonts w:ascii="Times New Roman" w:hAnsi="Times New Roman" w:cs="Times New Roman"/>
          <w:sz w:val="28"/>
          <w:szCs w:val="28"/>
        </w:rPr>
        <w:t xml:space="preserve"> sniedz</w:t>
      </w:r>
      <w:r w:rsidR="00C26111">
        <w:rPr>
          <w:rFonts w:ascii="Times New Roman" w:hAnsi="Times New Roman" w:cs="Times New Roman"/>
          <w:sz w:val="28"/>
          <w:szCs w:val="28"/>
        </w:rPr>
        <w:t>is</w:t>
      </w:r>
      <w:r w:rsidRPr="001F6927">
        <w:rPr>
          <w:rFonts w:ascii="Times New Roman" w:hAnsi="Times New Roman" w:cs="Times New Roman"/>
          <w:sz w:val="28"/>
          <w:szCs w:val="28"/>
        </w:rPr>
        <w:t xml:space="preserve"> piemēru par iespējamām izmaksām paviljonā ar platību 550 m</w:t>
      </w:r>
      <w:r w:rsidRPr="001F6927">
        <w:rPr>
          <w:rFonts w:ascii="Times New Roman" w:hAnsi="Times New Roman" w:cs="Times New Roman"/>
          <w:sz w:val="28"/>
          <w:szCs w:val="28"/>
          <w:vertAlign w:val="superscript"/>
        </w:rPr>
        <w:t>2</w:t>
      </w:r>
      <w:r w:rsidRPr="001F6927">
        <w:rPr>
          <w:rFonts w:ascii="Times New Roman" w:hAnsi="Times New Roman" w:cs="Times New Roman"/>
          <w:sz w:val="28"/>
          <w:szCs w:val="28"/>
        </w:rPr>
        <w:t>.</w:t>
      </w:r>
      <w:r w:rsidR="009A54A7">
        <w:rPr>
          <w:rFonts w:ascii="Times New Roman" w:hAnsi="Times New Roman" w:cs="Times New Roman"/>
          <w:sz w:val="28"/>
          <w:szCs w:val="28"/>
        </w:rPr>
        <w:t xml:space="preserve"> </w:t>
      </w:r>
    </w:p>
    <w:p w14:paraId="71C01595" w14:textId="77777777" w:rsidR="00F50CF9" w:rsidRDefault="00B020E2" w:rsidP="00386B45">
      <w:pPr>
        <w:spacing w:beforeLines="60" w:before="144" w:after="0" w:line="240" w:lineRule="auto"/>
        <w:ind w:firstLine="567"/>
        <w:contextualSpacing/>
        <w:jc w:val="both"/>
        <w:rPr>
          <w:rFonts w:ascii="Times New Roman" w:hAnsi="Times New Roman" w:cs="Times New Roman"/>
          <w:sz w:val="28"/>
          <w:szCs w:val="28"/>
        </w:rPr>
      </w:pPr>
      <w:r w:rsidRPr="001F6927">
        <w:rPr>
          <w:rFonts w:ascii="Times New Roman" w:hAnsi="Times New Roman" w:cs="Times New Roman"/>
          <w:sz w:val="28"/>
          <w:szCs w:val="28"/>
        </w:rPr>
        <w:t>Visi izmaksu pieņēmumi balstās uz pašreizējām tirgus izmaksām Astanā</w:t>
      </w:r>
      <w:r w:rsidR="00CE3714" w:rsidRPr="001F6927">
        <w:rPr>
          <w:rFonts w:ascii="Times New Roman" w:hAnsi="Times New Roman" w:cs="Times New Roman"/>
          <w:sz w:val="28"/>
          <w:szCs w:val="28"/>
        </w:rPr>
        <w:t>, Kazahstānā</w:t>
      </w:r>
      <w:r w:rsidRPr="001F6927">
        <w:rPr>
          <w:rFonts w:ascii="Times New Roman" w:hAnsi="Times New Roman" w:cs="Times New Roman"/>
          <w:sz w:val="28"/>
          <w:szCs w:val="28"/>
        </w:rPr>
        <w:t xml:space="preserve">. </w:t>
      </w:r>
      <w:r w:rsidR="00F50CF9" w:rsidRPr="001F6927">
        <w:rPr>
          <w:rFonts w:ascii="Times New Roman" w:hAnsi="Times New Roman" w:cs="Times New Roman"/>
          <w:sz w:val="28"/>
          <w:szCs w:val="28"/>
        </w:rPr>
        <w:t xml:space="preserve">Organizatora sniegtajā piemērā paviljons ir izveidots divos līmeņos un piecās zonās – pirmajā stāvā atrodas atbalsta birojs, priekštelpa, digitālās </w:t>
      </w:r>
      <w:r w:rsidR="00F50CF9" w:rsidRPr="001F6927">
        <w:rPr>
          <w:rFonts w:ascii="Times New Roman" w:hAnsi="Times New Roman" w:cs="Times New Roman"/>
          <w:sz w:val="28"/>
          <w:szCs w:val="28"/>
        </w:rPr>
        <w:lastRenderedPageBreak/>
        <w:t>izstādes zona, izstādes instalāciju zona, izejas zona, t.sk.</w:t>
      </w:r>
      <w:r w:rsidR="00F50CF9">
        <w:rPr>
          <w:rFonts w:ascii="Times New Roman" w:hAnsi="Times New Roman" w:cs="Times New Roman"/>
          <w:sz w:val="28"/>
          <w:szCs w:val="28"/>
        </w:rPr>
        <w:t>,</w:t>
      </w:r>
      <w:r w:rsidR="00F50CF9" w:rsidRPr="001F6927">
        <w:rPr>
          <w:rFonts w:ascii="Times New Roman" w:hAnsi="Times New Roman" w:cs="Times New Roman"/>
          <w:sz w:val="28"/>
          <w:szCs w:val="28"/>
        </w:rPr>
        <w:t xml:space="preserve"> veikals un informācijas stends, otrajā stāvā atrodas tehniskā nodrošinājuma zona un noliktava.</w:t>
      </w:r>
    </w:p>
    <w:p w14:paraId="7108EF7C" w14:textId="77777777" w:rsidR="00B020E2" w:rsidRPr="001F6927" w:rsidRDefault="00B020E2" w:rsidP="00386B45">
      <w:pPr>
        <w:spacing w:beforeLines="60" w:before="144" w:after="0" w:line="240" w:lineRule="auto"/>
        <w:ind w:firstLine="567"/>
        <w:contextualSpacing/>
        <w:jc w:val="both"/>
        <w:rPr>
          <w:rFonts w:ascii="Times New Roman" w:hAnsi="Times New Roman" w:cs="Times New Roman"/>
          <w:sz w:val="28"/>
          <w:szCs w:val="28"/>
        </w:rPr>
      </w:pPr>
      <w:r w:rsidRPr="001F6927">
        <w:rPr>
          <w:rFonts w:ascii="Times New Roman" w:hAnsi="Times New Roman" w:cs="Times New Roman"/>
          <w:sz w:val="28"/>
          <w:szCs w:val="28"/>
        </w:rPr>
        <w:t xml:space="preserve">Organizators ir aprēķinājis izmaksas tām pamatprasībām, kas būtu nepieciešamas </w:t>
      </w:r>
      <w:r w:rsidR="00F50ED5" w:rsidRPr="001F6927">
        <w:rPr>
          <w:rFonts w:ascii="Times New Roman" w:hAnsi="Times New Roman" w:cs="Times New Roman"/>
          <w:sz w:val="28"/>
          <w:szCs w:val="28"/>
        </w:rPr>
        <w:t>o</w:t>
      </w:r>
      <w:r w:rsidRPr="001F6927">
        <w:rPr>
          <w:rFonts w:ascii="Times New Roman" w:hAnsi="Times New Roman" w:cs="Times New Roman"/>
          <w:sz w:val="28"/>
          <w:szCs w:val="28"/>
        </w:rPr>
        <w:t xml:space="preserve">ficiālā dalībnieka paviljonā, vienlaikus katrs dalībnieks ir brīvs veikt savus aprēķinus, nosakot nepieciešamo paviljona aprīkojumu. </w:t>
      </w:r>
    </w:p>
    <w:p w14:paraId="7ED859B6" w14:textId="77777777" w:rsidR="00B020E2" w:rsidRPr="001F6927" w:rsidRDefault="008D29FA" w:rsidP="00386B45">
      <w:pPr>
        <w:spacing w:beforeLines="60" w:before="144" w:after="0" w:line="240" w:lineRule="auto"/>
        <w:ind w:firstLine="567"/>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 xml:space="preserve">Organizatora aplēstās dalības izmaksas par </w:t>
      </w:r>
      <w:r w:rsidRPr="001F6927">
        <w:rPr>
          <w:rFonts w:ascii="Times New Roman" w:hAnsi="Times New Roman" w:cs="Times New Roman"/>
          <w:sz w:val="28"/>
          <w:szCs w:val="28"/>
        </w:rPr>
        <w:t>1 m</w:t>
      </w:r>
      <w:r w:rsidRPr="001F6927">
        <w:rPr>
          <w:rFonts w:ascii="Times New Roman" w:hAnsi="Times New Roman" w:cs="Times New Roman"/>
          <w:sz w:val="28"/>
          <w:szCs w:val="28"/>
          <w:vertAlign w:val="superscript"/>
        </w:rPr>
        <w:t>2</w:t>
      </w:r>
      <w:r>
        <w:rPr>
          <w:rFonts w:ascii="Times New Roman" w:hAnsi="Times New Roman" w:cs="Times New Roman"/>
          <w:sz w:val="28"/>
          <w:szCs w:val="28"/>
        </w:rPr>
        <w:t xml:space="preserve"> ir 1</w:t>
      </w:r>
      <w:r w:rsidRPr="001F6927">
        <w:rPr>
          <w:rFonts w:ascii="Times New Roman" w:hAnsi="Times New Roman" w:cs="Times New Roman"/>
          <w:sz w:val="28"/>
          <w:szCs w:val="28"/>
        </w:rPr>
        <w:t> 929 EUR</w:t>
      </w:r>
      <w:r>
        <w:rPr>
          <w:rFonts w:ascii="Times New Roman" w:hAnsi="Times New Roman" w:cs="Times New Roman"/>
          <w:sz w:val="28"/>
          <w:szCs w:val="28"/>
        </w:rPr>
        <w:t xml:space="preserve">. Tādejādi </w:t>
      </w:r>
      <w:r w:rsidR="00E31159">
        <w:rPr>
          <w:rFonts w:ascii="Times New Roman" w:hAnsi="Times New Roman" w:cs="Times New Roman"/>
          <w:sz w:val="28"/>
          <w:szCs w:val="28"/>
        </w:rPr>
        <w:t>dalības ar paviljonu</w:t>
      </w:r>
      <w:r>
        <w:rPr>
          <w:rFonts w:ascii="Times New Roman" w:hAnsi="Times New Roman" w:cs="Times New Roman"/>
          <w:sz w:val="28"/>
          <w:szCs w:val="28"/>
        </w:rPr>
        <w:t>, kur</w:t>
      </w:r>
      <w:r w:rsidR="00E31159">
        <w:rPr>
          <w:rFonts w:ascii="Times New Roman" w:hAnsi="Times New Roman" w:cs="Times New Roman"/>
          <w:sz w:val="28"/>
          <w:szCs w:val="28"/>
        </w:rPr>
        <w:t>a</w:t>
      </w:r>
      <w:r>
        <w:rPr>
          <w:rFonts w:ascii="Times New Roman" w:hAnsi="Times New Roman" w:cs="Times New Roman"/>
          <w:sz w:val="28"/>
          <w:szCs w:val="28"/>
        </w:rPr>
        <w:t xml:space="preserve"> </w:t>
      </w:r>
      <w:r w:rsidR="00CE3714" w:rsidRPr="001F6927">
        <w:rPr>
          <w:rFonts w:ascii="Times New Roman" w:hAnsi="Times New Roman" w:cs="Times New Roman"/>
          <w:sz w:val="28"/>
          <w:szCs w:val="28"/>
        </w:rPr>
        <w:t>platība</w:t>
      </w:r>
      <w:r>
        <w:rPr>
          <w:rFonts w:ascii="Times New Roman" w:hAnsi="Times New Roman" w:cs="Times New Roman"/>
          <w:sz w:val="28"/>
          <w:szCs w:val="28"/>
        </w:rPr>
        <w:t xml:space="preserve"> ir</w:t>
      </w:r>
      <w:r w:rsidR="00B020E2" w:rsidRPr="001F6927">
        <w:rPr>
          <w:rFonts w:ascii="Times New Roman" w:hAnsi="Times New Roman" w:cs="Times New Roman"/>
          <w:sz w:val="28"/>
          <w:szCs w:val="28"/>
        </w:rPr>
        <w:t xml:space="preserve"> 550 m</w:t>
      </w:r>
      <w:r w:rsidR="00B020E2" w:rsidRPr="001F6927">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kopējās izmaksas ir </w:t>
      </w:r>
      <w:r w:rsidRPr="001F6927">
        <w:rPr>
          <w:rFonts w:ascii="Times New Roman" w:hAnsi="Times New Roman" w:cs="Times New Roman"/>
          <w:sz w:val="28"/>
          <w:szCs w:val="28"/>
        </w:rPr>
        <w:t>1 060 950 EUR</w:t>
      </w:r>
      <w:r>
        <w:rPr>
          <w:rFonts w:ascii="Times New Roman" w:hAnsi="Times New Roman" w:cs="Times New Roman"/>
          <w:sz w:val="28"/>
          <w:szCs w:val="28"/>
        </w:rPr>
        <w:t>.</w:t>
      </w:r>
    </w:p>
    <w:p w14:paraId="291C4848" w14:textId="77777777" w:rsidR="00B020E2" w:rsidRPr="001F6927" w:rsidRDefault="00B020E2" w:rsidP="00386B45">
      <w:pPr>
        <w:spacing w:beforeLines="30" w:before="72"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Organizators sniedz iespējam</w:t>
      </w:r>
      <w:r w:rsidR="00CE3714" w:rsidRPr="001F6927">
        <w:rPr>
          <w:rFonts w:ascii="Times New Roman" w:hAnsi="Times New Roman" w:cs="Times New Roman"/>
          <w:sz w:val="28"/>
          <w:szCs w:val="28"/>
        </w:rPr>
        <w:t>o</w:t>
      </w:r>
      <w:r w:rsidRPr="001F6927">
        <w:rPr>
          <w:rFonts w:ascii="Times New Roman" w:hAnsi="Times New Roman" w:cs="Times New Roman"/>
          <w:sz w:val="28"/>
          <w:szCs w:val="28"/>
        </w:rPr>
        <w:t xml:space="preserve"> dalības </w:t>
      </w:r>
      <w:r w:rsidR="00CE3714" w:rsidRPr="001F6927">
        <w:rPr>
          <w:rFonts w:ascii="Times New Roman" w:hAnsi="Times New Roman" w:cs="Times New Roman"/>
          <w:sz w:val="28"/>
          <w:szCs w:val="28"/>
        </w:rPr>
        <w:t>iz</w:t>
      </w:r>
      <w:r w:rsidRPr="001F6927">
        <w:rPr>
          <w:rFonts w:ascii="Times New Roman" w:hAnsi="Times New Roman" w:cs="Times New Roman"/>
          <w:sz w:val="28"/>
          <w:szCs w:val="28"/>
        </w:rPr>
        <w:t>maks</w:t>
      </w:r>
      <w:r w:rsidR="00CE3714" w:rsidRPr="001F6927">
        <w:rPr>
          <w:rFonts w:ascii="Times New Roman" w:hAnsi="Times New Roman" w:cs="Times New Roman"/>
          <w:sz w:val="28"/>
          <w:szCs w:val="28"/>
        </w:rPr>
        <w:t>u</w:t>
      </w:r>
      <w:r w:rsidRPr="001F6927">
        <w:rPr>
          <w:rFonts w:ascii="Times New Roman" w:hAnsi="Times New Roman" w:cs="Times New Roman"/>
          <w:sz w:val="28"/>
          <w:szCs w:val="28"/>
        </w:rPr>
        <w:t xml:space="preserve"> sadalījumu:</w:t>
      </w:r>
    </w:p>
    <w:tbl>
      <w:tblPr>
        <w:tblStyle w:val="TableGrid"/>
        <w:tblW w:w="9067" w:type="dxa"/>
        <w:tblLayout w:type="fixed"/>
        <w:tblLook w:val="04A0" w:firstRow="1" w:lastRow="0" w:firstColumn="1" w:lastColumn="0" w:noHBand="0" w:noVBand="1"/>
      </w:tblPr>
      <w:tblGrid>
        <w:gridCol w:w="4390"/>
        <w:gridCol w:w="1417"/>
        <w:gridCol w:w="3260"/>
      </w:tblGrid>
      <w:tr w:rsidR="00B020E2" w:rsidRPr="001F6927" w14:paraId="1636B2CF" w14:textId="77777777" w:rsidTr="008301A9">
        <w:tc>
          <w:tcPr>
            <w:tcW w:w="4390" w:type="dxa"/>
          </w:tcPr>
          <w:p w14:paraId="3D0DC746" w14:textId="77777777" w:rsidR="00B020E2" w:rsidRPr="001F6927" w:rsidRDefault="00B020E2" w:rsidP="008301A9">
            <w:pPr>
              <w:spacing w:before="120"/>
              <w:ind w:firstLine="29"/>
              <w:jc w:val="center"/>
              <w:rPr>
                <w:rFonts w:ascii="Times New Roman" w:hAnsi="Times New Roman" w:cs="Times New Roman"/>
                <w:b/>
                <w:sz w:val="28"/>
                <w:szCs w:val="28"/>
              </w:rPr>
            </w:pPr>
            <w:r w:rsidRPr="001F6927">
              <w:rPr>
                <w:rFonts w:ascii="Times New Roman" w:hAnsi="Times New Roman" w:cs="Times New Roman"/>
                <w:b/>
                <w:sz w:val="28"/>
                <w:szCs w:val="28"/>
              </w:rPr>
              <w:t>Apjoms</w:t>
            </w:r>
          </w:p>
        </w:tc>
        <w:tc>
          <w:tcPr>
            <w:tcW w:w="1417" w:type="dxa"/>
          </w:tcPr>
          <w:p w14:paraId="54A2AF75" w14:textId="77777777" w:rsidR="00B020E2" w:rsidRPr="001F6927" w:rsidRDefault="00B020E2" w:rsidP="008301A9">
            <w:pPr>
              <w:spacing w:before="120"/>
              <w:ind w:firstLine="33"/>
              <w:jc w:val="center"/>
              <w:rPr>
                <w:rFonts w:ascii="Times New Roman" w:hAnsi="Times New Roman" w:cs="Times New Roman"/>
                <w:b/>
                <w:sz w:val="28"/>
                <w:szCs w:val="28"/>
              </w:rPr>
            </w:pPr>
            <w:r w:rsidRPr="001F6927">
              <w:rPr>
                <w:rFonts w:ascii="Times New Roman" w:hAnsi="Times New Roman" w:cs="Times New Roman"/>
                <w:b/>
                <w:sz w:val="28"/>
                <w:szCs w:val="28"/>
              </w:rPr>
              <w:t>EUR/m</w:t>
            </w:r>
            <w:r w:rsidRPr="001F6927">
              <w:rPr>
                <w:rFonts w:ascii="Times New Roman" w:hAnsi="Times New Roman" w:cs="Times New Roman"/>
                <w:b/>
                <w:sz w:val="28"/>
                <w:szCs w:val="28"/>
                <w:vertAlign w:val="superscript"/>
              </w:rPr>
              <w:t>2</w:t>
            </w:r>
          </w:p>
        </w:tc>
        <w:tc>
          <w:tcPr>
            <w:tcW w:w="3260" w:type="dxa"/>
          </w:tcPr>
          <w:p w14:paraId="0031EBFB" w14:textId="77777777" w:rsidR="00B020E2" w:rsidRPr="001F6927" w:rsidRDefault="00B020E2" w:rsidP="008301A9">
            <w:pPr>
              <w:spacing w:before="120"/>
              <w:jc w:val="center"/>
              <w:rPr>
                <w:rFonts w:ascii="Times New Roman" w:hAnsi="Times New Roman" w:cs="Times New Roman"/>
                <w:b/>
                <w:sz w:val="28"/>
                <w:szCs w:val="28"/>
              </w:rPr>
            </w:pPr>
            <w:r w:rsidRPr="001F6927">
              <w:rPr>
                <w:rFonts w:ascii="Times New Roman" w:hAnsi="Times New Roman" w:cs="Times New Roman"/>
                <w:b/>
                <w:sz w:val="28"/>
                <w:szCs w:val="28"/>
              </w:rPr>
              <w:t xml:space="preserve">% </w:t>
            </w:r>
            <w:r w:rsidR="00CE3714" w:rsidRPr="001F6927">
              <w:rPr>
                <w:rFonts w:ascii="Times New Roman" w:hAnsi="Times New Roman" w:cs="Times New Roman"/>
                <w:b/>
                <w:sz w:val="28"/>
                <w:szCs w:val="28"/>
              </w:rPr>
              <w:t>no kopējām izmaksām</w:t>
            </w:r>
          </w:p>
        </w:tc>
      </w:tr>
      <w:tr w:rsidR="00B020E2" w:rsidRPr="001F6927" w14:paraId="14E894AC" w14:textId="77777777" w:rsidTr="008301A9">
        <w:tc>
          <w:tcPr>
            <w:tcW w:w="4390" w:type="dxa"/>
          </w:tcPr>
          <w:p w14:paraId="4B7672A3"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Aprīkojums</w:t>
            </w:r>
          </w:p>
        </w:tc>
        <w:tc>
          <w:tcPr>
            <w:tcW w:w="1417" w:type="dxa"/>
          </w:tcPr>
          <w:p w14:paraId="1A18AB58"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645</w:t>
            </w:r>
          </w:p>
        </w:tc>
        <w:tc>
          <w:tcPr>
            <w:tcW w:w="3260" w:type="dxa"/>
          </w:tcPr>
          <w:p w14:paraId="3F7209A3"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33%</w:t>
            </w:r>
          </w:p>
        </w:tc>
      </w:tr>
      <w:tr w:rsidR="00B020E2" w:rsidRPr="001F6927" w14:paraId="15890791" w14:textId="77777777" w:rsidTr="008301A9">
        <w:tc>
          <w:tcPr>
            <w:tcW w:w="4390" w:type="dxa"/>
          </w:tcPr>
          <w:p w14:paraId="399C57E3"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Saturs (scenogrāfija un multimediji)</w:t>
            </w:r>
          </w:p>
        </w:tc>
        <w:tc>
          <w:tcPr>
            <w:tcW w:w="1417" w:type="dxa"/>
          </w:tcPr>
          <w:p w14:paraId="3DE46B4B"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365</w:t>
            </w:r>
          </w:p>
        </w:tc>
        <w:tc>
          <w:tcPr>
            <w:tcW w:w="3260" w:type="dxa"/>
          </w:tcPr>
          <w:p w14:paraId="7EF4EF30"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19%</w:t>
            </w:r>
          </w:p>
        </w:tc>
      </w:tr>
      <w:tr w:rsidR="00B020E2" w:rsidRPr="001F6927" w14:paraId="25A88463" w14:textId="77777777" w:rsidTr="008301A9">
        <w:tc>
          <w:tcPr>
            <w:tcW w:w="4390" w:type="dxa"/>
          </w:tcPr>
          <w:p w14:paraId="44F3F45B"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Nojaukšana</w:t>
            </w:r>
          </w:p>
        </w:tc>
        <w:tc>
          <w:tcPr>
            <w:tcW w:w="1417" w:type="dxa"/>
          </w:tcPr>
          <w:p w14:paraId="5DF2271D"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152</w:t>
            </w:r>
          </w:p>
        </w:tc>
        <w:tc>
          <w:tcPr>
            <w:tcW w:w="3260" w:type="dxa"/>
          </w:tcPr>
          <w:p w14:paraId="2DD37E7E"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8%</w:t>
            </w:r>
          </w:p>
        </w:tc>
      </w:tr>
      <w:tr w:rsidR="00B020E2" w:rsidRPr="001F6927" w14:paraId="5A6B6B86" w14:textId="77777777" w:rsidTr="008301A9">
        <w:tc>
          <w:tcPr>
            <w:tcW w:w="4390" w:type="dxa"/>
          </w:tcPr>
          <w:p w14:paraId="4CEB90EC"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Mēbelējums</w:t>
            </w:r>
          </w:p>
        </w:tc>
        <w:tc>
          <w:tcPr>
            <w:tcW w:w="1417" w:type="dxa"/>
          </w:tcPr>
          <w:p w14:paraId="0423881A"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78</w:t>
            </w:r>
          </w:p>
        </w:tc>
        <w:tc>
          <w:tcPr>
            <w:tcW w:w="3260" w:type="dxa"/>
          </w:tcPr>
          <w:p w14:paraId="6229032B"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4%</w:t>
            </w:r>
          </w:p>
        </w:tc>
      </w:tr>
      <w:tr w:rsidR="00B020E2" w:rsidRPr="001F6927" w14:paraId="6262F6C1" w14:textId="77777777" w:rsidTr="008301A9">
        <w:tc>
          <w:tcPr>
            <w:tcW w:w="4390" w:type="dxa"/>
          </w:tcPr>
          <w:p w14:paraId="6608EAE3"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Apsaimniekošana (uzkopšana, drošība)</w:t>
            </w:r>
          </w:p>
        </w:tc>
        <w:tc>
          <w:tcPr>
            <w:tcW w:w="1417" w:type="dxa"/>
          </w:tcPr>
          <w:p w14:paraId="7F28064A"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249</w:t>
            </w:r>
          </w:p>
        </w:tc>
        <w:tc>
          <w:tcPr>
            <w:tcW w:w="3260" w:type="dxa"/>
          </w:tcPr>
          <w:p w14:paraId="3D864071"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13%</w:t>
            </w:r>
          </w:p>
        </w:tc>
      </w:tr>
      <w:tr w:rsidR="00B020E2" w:rsidRPr="001F6927" w14:paraId="7636B58A" w14:textId="77777777" w:rsidTr="008301A9">
        <w:tc>
          <w:tcPr>
            <w:tcW w:w="4390" w:type="dxa"/>
          </w:tcPr>
          <w:p w14:paraId="09A143CD"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Apdrošināšana un dalības pakalpojumi</w:t>
            </w:r>
          </w:p>
        </w:tc>
        <w:tc>
          <w:tcPr>
            <w:tcW w:w="1417" w:type="dxa"/>
          </w:tcPr>
          <w:p w14:paraId="0AB2C25A"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119</w:t>
            </w:r>
          </w:p>
        </w:tc>
        <w:tc>
          <w:tcPr>
            <w:tcW w:w="3260" w:type="dxa"/>
          </w:tcPr>
          <w:p w14:paraId="06D6B6FD"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6%</w:t>
            </w:r>
          </w:p>
        </w:tc>
      </w:tr>
      <w:tr w:rsidR="00B020E2" w:rsidRPr="001F6927" w14:paraId="094680BE" w14:textId="77777777" w:rsidTr="008301A9">
        <w:tc>
          <w:tcPr>
            <w:tcW w:w="4390" w:type="dxa"/>
          </w:tcPr>
          <w:p w14:paraId="2BDF60BA" w14:textId="77777777" w:rsidR="00B020E2" w:rsidRPr="001F6927" w:rsidRDefault="00B020E2" w:rsidP="009A54A7">
            <w:pPr>
              <w:spacing w:before="120"/>
              <w:jc w:val="both"/>
              <w:rPr>
                <w:rFonts w:ascii="Times New Roman" w:hAnsi="Times New Roman" w:cs="Times New Roman"/>
                <w:sz w:val="28"/>
                <w:szCs w:val="28"/>
              </w:rPr>
            </w:pPr>
            <w:r w:rsidRPr="001F6927">
              <w:rPr>
                <w:rFonts w:ascii="Times New Roman" w:hAnsi="Times New Roman" w:cs="Times New Roman"/>
                <w:sz w:val="28"/>
                <w:szCs w:val="28"/>
              </w:rPr>
              <w:t>Dažādi</w:t>
            </w:r>
          </w:p>
        </w:tc>
        <w:tc>
          <w:tcPr>
            <w:tcW w:w="1417" w:type="dxa"/>
          </w:tcPr>
          <w:p w14:paraId="338E8122"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322</w:t>
            </w:r>
          </w:p>
        </w:tc>
        <w:tc>
          <w:tcPr>
            <w:tcW w:w="3260" w:type="dxa"/>
          </w:tcPr>
          <w:p w14:paraId="7CFCCCB7" w14:textId="77777777" w:rsidR="00B020E2" w:rsidRPr="001F6927" w:rsidRDefault="00B020E2" w:rsidP="00386B45">
            <w:pPr>
              <w:spacing w:before="120"/>
              <w:jc w:val="center"/>
              <w:rPr>
                <w:rFonts w:ascii="Times New Roman" w:hAnsi="Times New Roman" w:cs="Times New Roman"/>
                <w:sz w:val="28"/>
                <w:szCs w:val="28"/>
              </w:rPr>
            </w:pPr>
            <w:r w:rsidRPr="001F6927">
              <w:rPr>
                <w:rFonts w:ascii="Times New Roman" w:hAnsi="Times New Roman" w:cs="Times New Roman"/>
                <w:sz w:val="28"/>
                <w:szCs w:val="28"/>
              </w:rPr>
              <w:t>17%</w:t>
            </w:r>
          </w:p>
        </w:tc>
      </w:tr>
      <w:tr w:rsidR="00B020E2" w:rsidRPr="001F6927" w14:paraId="2DFB71BC" w14:textId="77777777" w:rsidTr="008301A9">
        <w:tc>
          <w:tcPr>
            <w:tcW w:w="4390" w:type="dxa"/>
          </w:tcPr>
          <w:p w14:paraId="70C5C107" w14:textId="77777777" w:rsidR="00B020E2" w:rsidRPr="001F6927" w:rsidRDefault="00B020E2" w:rsidP="009A54A7">
            <w:pPr>
              <w:spacing w:before="120"/>
              <w:jc w:val="both"/>
              <w:rPr>
                <w:rFonts w:ascii="Times New Roman" w:hAnsi="Times New Roman" w:cs="Times New Roman"/>
                <w:b/>
                <w:sz w:val="28"/>
                <w:szCs w:val="28"/>
              </w:rPr>
            </w:pPr>
            <w:r w:rsidRPr="001F6927">
              <w:rPr>
                <w:rFonts w:ascii="Times New Roman" w:hAnsi="Times New Roman" w:cs="Times New Roman"/>
                <w:b/>
                <w:sz w:val="28"/>
                <w:szCs w:val="28"/>
              </w:rPr>
              <w:t>Kopā:</w:t>
            </w:r>
          </w:p>
        </w:tc>
        <w:tc>
          <w:tcPr>
            <w:tcW w:w="1417" w:type="dxa"/>
          </w:tcPr>
          <w:p w14:paraId="6D8B18BC" w14:textId="77777777" w:rsidR="00B020E2" w:rsidRPr="001F6927" w:rsidRDefault="00B020E2" w:rsidP="00386B45">
            <w:pPr>
              <w:spacing w:before="120"/>
              <w:jc w:val="center"/>
              <w:rPr>
                <w:rFonts w:ascii="Times New Roman" w:hAnsi="Times New Roman" w:cs="Times New Roman"/>
                <w:b/>
                <w:sz w:val="28"/>
                <w:szCs w:val="28"/>
              </w:rPr>
            </w:pPr>
            <w:r w:rsidRPr="001F6927">
              <w:rPr>
                <w:rFonts w:ascii="Times New Roman" w:hAnsi="Times New Roman" w:cs="Times New Roman"/>
                <w:b/>
                <w:sz w:val="28"/>
                <w:szCs w:val="28"/>
              </w:rPr>
              <w:t>1929</w:t>
            </w:r>
          </w:p>
        </w:tc>
        <w:tc>
          <w:tcPr>
            <w:tcW w:w="3260" w:type="dxa"/>
          </w:tcPr>
          <w:p w14:paraId="0C40D36B" w14:textId="77777777" w:rsidR="00B020E2" w:rsidRPr="001F6927" w:rsidRDefault="00B020E2" w:rsidP="00386B45">
            <w:pPr>
              <w:spacing w:before="120"/>
              <w:jc w:val="center"/>
              <w:rPr>
                <w:rFonts w:ascii="Times New Roman" w:hAnsi="Times New Roman" w:cs="Times New Roman"/>
                <w:b/>
                <w:sz w:val="28"/>
                <w:szCs w:val="28"/>
              </w:rPr>
            </w:pPr>
            <w:r w:rsidRPr="001F6927">
              <w:rPr>
                <w:rFonts w:ascii="Times New Roman" w:hAnsi="Times New Roman" w:cs="Times New Roman"/>
                <w:b/>
                <w:sz w:val="28"/>
                <w:szCs w:val="28"/>
              </w:rPr>
              <w:t>100%</w:t>
            </w:r>
          </w:p>
        </w:tc>
      </w:tr>
    </w:tbl>
    <w:p w14:paraId="19C4ADC3" w14:textId="77777777" w:rsidR="00B020E2" w:rsidRPr="001F6927" w:rsidRDefault="00B020E2" w:rsidP="00B65F4F">
      <w:pPr>
        <w:spacing w:before="12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 xml:space="preserve">Lai oficiālajiem dalībniekiem atvieglotu dalības maksas aprēķinus, </w:t>
      </w:r>
      <w:r w:rsidR="00F50ED5" w:rsidRPr="001F6927">
        <w:rPr>
          <w:rFonts w:ascii="Times New Roman" w:hAnsi="Times New Roman" w:cs="Times New Roman"/>
          <w:sz w:val="28"/>
          <w:szCs w:val="28"/>
        </w:rPr>
        <w:t>o</w:t>
      </w:r>
      <w:r w:rsidRPr="001F6927">
        <w:rPr>
          <w:rFonts w:ascii="Times New Roman" w:hAnsi="Times New Roman" w:cs="Times New Roman"/>
          <w:sz w:val="28"/>
          <w:szCs w:val="28"/>
        </w:rPr>
        <w:t>rganizators izstrādā budžeta plānošanas sistēmu, kas dalībniekiem būs pieejama kā papildmateriāls pie jau izstrādātajām vadlīnijām.</w:t>
      </w:r>
    </w:p>
    <w:p w14:paraId="294ADB45" w14:textId="77777777" w:rsidR="00B020E2" w:rsidRDefault="00B020E2" w:rsidP="00B65F4F">
      <w:pPr>
        <w:spacing w:before="12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Organizators izstādes laikā nodrošinās gan maksas, gan bezmaksas pakalpojumu pieejamību. Starp maksas pakalpojumiem ierindojami paviljona telpu komunālie maksājumi (gāze, elektrība, telekomunikācijas, ūdensapgāde, atkritumu savākšana, ūdens gaisa kondicionieriem, paviljona drošība u.c.), savukārt bezmaksas tiks nodrošināta pirmā medicīniskā palīdzība, publisko telpu uzkopšana, apmeklētāju informācijas serviss u.c.</w:t>
      </w:r>
    </w:p>
    <w:p w14:paraId="37CAC035" w14:textId="019E39C0" w:rsidR="00B020E2" w:rsidRDefault="00B42B24" w:rsidP="00B65F4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Ņemot vērā minēto, </w:t>
      </w:r>
      <w:r w:rsidR="00AD4DEF">
        <w:rPr>
          <w:rFonts w:ascii="Times New Roman" w:hAnsi="Times New Roman" w:cs="Times New Roman"/>
          <w:sz w:val="28"/>
          <w:szCs w:val="28"/>
        </w:rPr>
        <w:t>secināms</w:t>
      </w:r>
      <w:r>
        <w:rPr>
          <w:rFonts w:ascii="Times New Roman" w:hAnsi="Times New Roman" w:cs="Times New Roman"/>
          <w:sz w:val="28"/>
          <w:szCs w:val="28"/>
        </w:rPr>
        <w:t xml:space="preserve">, ka Latvijas dalības </w:t>
      </w:r>
      <w:r w:rsidR="00D621C3">
        <w:rPr>
          <w:rFonts w:ascii="Times New Roman" w:hAnsi="Times New Roman" w:cs="Times New Roman"/>
          <w:sz w:val="28"/>
          <w:szCs w:val="28"/>
        </w:rPr>
        <w:t>pamat</w:t>
      </w:r>
      <w:r>
        <w:rPr>
          <w:rFonts w:ascii="Times New Roman" w:hAnsi="Times New Roman" w:cs="Times New Roman"/>
          <w:sz w:val="28"/>
          <w:szCs w:val="28"/>
        </w:rPr>
        <w:t xml:space="preserve">izmaksas varētu </w:t>
      </w:r>
      <w:r w:rsidR="00E31159">
        <w:rPr>
          <w:rFonts w:ascii="Times New Roman" w:hAnsi="Times New Roman" w:cs="Times New Roman"/>
          <w:sz w:val="28"/>
          <w:szCs w:val="28"/>
        </w:rPr>
        <w:t>veidot</w:t>
      </w:r>
      <w:r w:rsidR="00AD4DEF">
        <w:rPr>
          <w:rFonts w:ascii="Times New Roman" w:hAnsi="Times New Roman" w:cs="Times New Roman"/>
          <w:sz w:val="28"/>
          <w:szCs w:val="28"/>
        </w:rPr>
        <w:t xml:space="preserve"> </w:t>
      </w:r>
      <w:r w:rsidR="00AD4DEF" w:rsidRPr="00B42B24">
        <w:rPr>
          <w:rFonts w:ascii="Times New Roman" w:hAnsi="Times New Roman" w:cs="Times New Roman"/>
          <w:sz w:val="28"/>
          <w:szCs w:val="28"/>
        </w:rPr>
        <w:t>1 060 950 EUR</w:t>
      </w:r>
      <w:r w:rsidR="00D621C3">
        <w:rPr>
          <w:rFonts w:ascii="Times New Roman" w:hAnsi="Times New Roman" w:cs="Times New Roman"/>
          <w:sz w:val="28"/>
          <w:szCs w:val="28"/>
        </w:rPr>
        <w:t xml:space="preserve">, </w:t>
      </w:r>
      <w:r w:rsidR="00592276">
        <w:rPr>
          <w:rFonts w:ascii="Times New Roman" w:hAnsi="Times New Roman" w:cs="Times New Roman"/>
          <w:sz w:val="28"/>
          <w:szCs w:val="28"/>
        </w:rPr>
        <w:t xml:space="preserve">vienlaikus jāņem vērā, ka </w:t>
      </w:r>
      <w:r w:rsidR="00FC066D">
        <w:rPr>
          <w:rFonts w:ascii="Times New Roman" w:hAnsi="Times New Roman" w:cs="Times New Roman"/>
          <w:sz w:val="28"/>
          <w:szCs w:val="28"/>
        </w:rPr>
        <w:t xml:space="preserve">minētā summa </w:t>
      </w:r>
      <w:r w:rsidR="008907A7">
        <w:rPr>
          <w:rFonts w:ascii="Times New Roman" w:hAnsi="Times New Roman" w:cs="Times New Roman"/>
          <w:sz w:val="28"/>
          <w:szCs w:val="28"/>
        </w:rPr>
        <w:t>var tikt sadārdzināta</w:t>
      </w:r>
      <w:r w:rsidR="00592276">
        <w:rPr>
          <w:rFonts w:ascii="Times New Roman" w:hAnsi="Times New Roman" w:cs="Times New Roman"/>
          <w:sz w:val="28"/>
          <w:szCs w:val="28"/>
        </w:rPr>
        <w:t>, ņemot vērā, ka nav izstrādāta dalības koncepcija un tehniskie risinājumi</w:t>
      </w:r>
      <w:r w:rsidR="008907A7">
        <w:rPr>
          <w:rFonts w:ascii="Times New Roman" w:hAnsi="Times New Roman" w:cs="Times New Roman"/>
          <w:sz w:val="28"/>
          <w:szCs w:val="28"/>
        </w:rPr>
        <w:t>.</w:t>
      </w:r>
      <w:r w:rsidR="00FC066D">
        <w:rPr>
          <w:rFonts w:ascii="Times New Roman" w:hAnsi="Times New Roman" w:cs="Times New Roman"/>
          <w:sz w:val="28"/>
          <w:szCs w:val="28"/>
        </w:rPr>
        <w:t xml:space="preserve"> </w:t>
      </w:r>
      <w:r w:rsidR="00D621C3">
        <w:rPr>
          <w:rFonts w:ascii="Times New Roman" w:hAnsi="Times New Roman" w:cs="Times New Roman"/>
          <w:sz w:val="28"/>
          <w:szCs w:val="28"/>
        </w:rPr>
        <w:t>Jāatzīmē, ka</w:t>
      </w:r>
      <w:r w:rsidR="008907A7" w:rsidRPr="008907A7">
        <w:rPr>
          <w:rFonts w:ascii="Times New Roman" w:hAnsi="Times New Roman" w:cs="Times New Roman"/>
          <w:sz w:val="28"/>
          <w:szCs w:val="28"/>
        </w:rPr>
        <w:t xml:space="preserve"> </w:t>
      </w:r>
      <w:r w:rsidR="008907A7">
        <w:rPr>
          <w:rFonts w:ascii="Times New Roman" w:hAnsi="Times New Roman" w:cs="Times New Roman"/>
          <w:sz w:val="28"/>
          <w:szCs w:val="28"/>
        </w:rPr>
        <w:t>minētās dalības izmaksas ir skatāmas 2016.gada valsts budžeta iespēju kontekstā</w:t>
      </w:r>
      <w:r w:rsidR="00592276">
        <w:rPr>
          <w:rFonts w:ascii="Times New Roman" w:hAnsi="Times New Roman" w:cs="Times New Roman"/>
          <w:sz w:val="28"/>
          <w:szCs w:val="28"/>
        </w:rPr>
        <w:t>, jo ne Ekonomikas ministrijas, ne Latvijas Investīciju un attīstības aģentūras rīcībā nav šādu resursu</w:t>
      </w:r>
      <w:r w:rsidR="008907A7">
        <w:rPr>
          <w:rFonts w:ascii="Times New Roman" w:hAnsi="Times New Roman" w:cs="Times New Roman"/>
          <w:sz w:val="28"/>
          <w:szCs w:val="28"/>
        </w:rPr>
        <w:t>. Turklāt</w:t>
      </w:r>
      <w:r w:rsidR="00E31159">
        <w:rPr>
          <w:rFonts w:ascii="Times New Roman" w:hAnsi="Times New Roman" w:cs="Times New Roman"/>
          <w:sz w:val="28"/>
          <w:szCs w:val="28"/>
        </w:rPr>
        <w:t>, dalības gadījumā,</w:t>
      </w:r>
      <w:r w:rsidR="008907A7">
        <w:rPr>
          <w:rFonts w:ascii="Times New Roman" w:hAnsi="Times New Roman" w:cs="Times New Roman"/>
          <w:sz w:val="28"/>
          <w:szCs w:val="28"/>
        </w:rPr>
        <w:t xml:space="preserve"> no valsts puses būs</w:t>
      </w:r>
      <w:r w:rsidR="00D621C3">
        <w:rPr>
          <w:rFonts w:ascii="Times New Roman" w:hAnsi="Times New Roman" w:cs="Times New Roman"/>
          <w:sz w:val="28"/>
          <w:szCs w:val="28"/>
        </w:rPr>
        <w:t xml:space="preserve"> nepieciešama iepirkumu procedūras organizēšana, atbilstoši Publisko iepirkumu likuma noteiktajai kārt</w:t>
      </w:r>
      <w:r w:rsidR="008907A7">
        <w:rPr>
          <w:rFonts w:ascii="Times New Roman" w:hAnsi="Times New Roman" w:cs="Times New Roman"/>
          <w:sz w:val="28"/>
          <w:szCs w:val="28"/>
        </w:rPr>
        <w:t xml:space="preserve">ībai, </w:t>
      </w:r>
      <w:r w:rsidR="00592276">
        <w:rPr>
          <w:rFonts w:ascii="Times New Roman" w:hAnsi="Times New Roman" w:cs="Times New Roman"/>
          <w:sz w:val="28"/>
          <w:szCs w:val="28"/>
        </w:rPr>
        <w:t>un, ņemot vērā dalības darba grafiku, t</w:t>
      </w:r>
      <w:r w:rsidR="008907A7">
        <w:rPr>
          <w:rFonts w:ascii="Times New Roman" w:hAnsi="Times New Roman" w:cs="Times New Roman"/>
          <w:sz w:val="28"/>
          <w:szCs w:val="28"/>
        </w:rPr>
        <w:t xml:space="preserve">as satur risku termiņu neievērošanai dalības </w:t>
      </w:r>
      <w:r w:rsidR="00592276">
        <w:rPr>
          <w:rFonts w:ascii="Times New Roman" w:hAnsi="Times New Roman" w:cs="Times New Roman"/>
          <w:sz w:val="28"/>
          <w:szCs w:val="28"/>
        </w:rPr>
        <w:t>nodrošinā</w:t>
      </w:r>
      <w:r w:rsidR="008907A7">
        <w:rPr>
          <w:rFonts w:ascii="Times New Roman" w:hAnsi="Times New Roman" w:cs="Times New Roman"/>
          <w:sz w:val="28"/>
          <w:szCs w:val="28"/>
        </w:rPr>
        <w:t>š</w:t>
      </w:r>
      <w:r w:rsidR="00592276">
        <w:rPr>
          <w:rFonts w:ascii="Times New Roman" w:hAnsi="Times New Roman" w:cs="Times New Roman"/>
          <w:sz w:val="28"/>
          <w:szCs w:val="28"/>
        </w:rPr>
        <w:t>a</w:t>
      </w:r>
      <w:r w:rsidR="008907A7">
        <w:rPr>
          <w:rFonts w:ascii="Times New Roman" w:hAnsi="Times New Roman" w:cs="Times New Roman"/>
          <w:sz w:val="28"/>
          <w:szCs w:val="28"/>
        </w:rPr>
        <w:t>nai</w:t>
      </w:r>
      <w:r w:rsidR="00592276" w:rsidRPr="00592276">
        <w:rPr>
          <w:rFonts w:ascii="Times New Roman" w:hAnsi="Times New Roman" w:cs="Times New Roman"/>
          <w:sz w:val="28"/>
          <w:szCs w:val="28"/>
        </w:rPr>
        <w:t xml:space="preserve"> </w:t>
      </w:r>
      <w:r w:rsidR="00592276" w:rsidRPr="001F6927">
        <w:rPr>
          <w:rFonts w:ascii="Times New Roman" w:hAnsi="Times New Roman" w:cs="Times New Roman"/>
          <w:sz w:val="28"/>
          <w:szCs w:val="28"/>
        </w:rPr>
        <w:t>izstādē “Astana Expo 2017”</w:t>
      </w:r>
      <w:r w:rsidR="008907A7">
        <w:rPr>
          <w:rFonts w:ascii="Times New Roman" w:hAnsi="Times New Roman" w:cs="Times New Roman"/>
          <w:sz w:val="28"/>
          <w:szCs w:val="28"/>
        </w:rPr>
        <w:t>.</w:t>
      </w:r>
    </w:p>
    <w:p w14:paraId="783C786F" w14:textId="77777777" w:rsidR="00592276" w:rsidRPr="001F6927" w:rsidRDefault="00592276" w:rsidP="00B65F4F">
      <w:pPr>
        <w:spacing w:before="120" w:after="0" w:line="240" w:lineRule="auto"/>
        <w:ind w:firstLine="567"/>
        <w:jc w:val="both"/>
        <w:rPr>
          <w:rFonts w:ascii="Times New Roman" w:hAnsi="Times New Roman" w:cs="Times New Roman"/>
          <w:sz w:val="28"/>
          <w:szCs w:val="28"/>
        </w:rPr>
      </w:pPr>
    </w:p>
    <w:p w14:paraId="42E52998" w14:textId="77777777" w:rsidR="007B30E4" w:rsidRPr="00F43960" w:rsidRDefault="00C42C8C" w:rsidP="00F43960">
      <w:pPr>
        <w:pStyle w:val="ListParagraph"/>
        <w:numPr>
          <w:ilvl w:val="0"/>
          <w:numId w:val="6"/>
        </w:numPr>
        <w:spacing w:before="120" w:after="0" w:line="240" w:lineRule="auto"/>
        <w:jc w:val="both"/>
        <w:rPr>
          <w:rFonts w:ascii="Times New Roman" w:hAnsi="Times New Roman" w:cs="Times New Roman"/>
          <w:b/>
          <w:sz w:val="28"/>
          <w:szCs w:val="28"/>
        </w:rPr>
      </w:pPr>
      <w:r w:rsidRPr="00F43960">
        <w:rPr>
          <w:rFonts w:ascii="Times New Roman" w:hAnsi="Times New Roman" w:cs="Times New Roman"/>
          <w:b/>
          <w:sz w:val="28"/>
          <w:szCs w:val="28"/>
        </w:rPr>
        <w:lastRenderedPageBreak/>
        <w:t>Par Latvijas</w:t>
      </w:r>
      <w:r w:rsidR="00996DEA">
        <w:rPr>
          <w:rFonts w:ascii="Times New Roman" w:hAnsi="Times New Roman" w:cs="Times New Roman"/>
          <w:b/>
          <w:sz w:val="28"/>
          <w:szCs w:val="28"/>
        </w:rPr>
        <w:t xml:space="preserve"> iespējamo</w:t>
      </w:r>
      <w:r w:rsidRPr="00F43960">
        <w:rPr>
          <w:rFonts w:ascii="Times New Roman" w:hAnsi="Times New Roman" w:cs="Times New Roman"/>
          <w:b/>
          <w:sz w:val="28"/>
          <w:szCs w:val="28"/>
        </w:rPr>
        <w:t xml:space="preserve"> dalību </w:t>
      </w:r>
      <w:r w:rsidR="00A062BC" w:rsidRPr="00F43960">
        <w:rPr>
          <w:rFonts w:ascii="Times New Roman" w:hAnsi="Times New Roman" w:cs="Times New Roman"/>
          <w:b/>
          <w:sz w:val="28"/>
          <w:szCs w:val="28"/>
        </w:rPr>
        <w:t>izstādē “Astana Expo 2017”</w:t>
      </w:r>
    </w:p>
    <w:p w14:paraId="6C797C04" w14:textId="77777777" w:rsidR="00F50CF9" w:rsidRDefault="00A062BC" w:rsidP="00386B45">
      <w:pPr>
        <w:spacing w:before="60" w:after="0" w:line="240" w:lineRule="auto"/>
        <w:ind w:firstLine="567"/>
        <w:jc w:val="both"/>
        <w:rPr>
          <w:rFonts w:ascii="Times New Roman" w:hAnsi="Times New Roman" w:cs="Times New Roman"/>
          <w:sz w:val="28"/>
          <w:szCs w:val="28"/>
        </w:rPr>
      </w:pPr>
      <w:r w:rsidRPr="001F6927">
        <w:rPr>
          <w:rFonts w:ascii="Times New Roman" w:hAnsi="Times New Roman" w:cs="Times New Roman"/>
          <w:sz w:val="28"/>
          <w:szCs w:val="28"/>
        </w:rPr>
        <w:t>Izstādes tēma „Nākotnes enerģija” un apakštēmas, kā arī to definētie mērķi ir cieši saistīti ar Ekonomikas ministrijas pārraudzībā esošo enerģētikas politiku (t.sk.</w:t>
      </w:r>
      <w:r w:rsidR="00F50CF9">
        <w:rPr>
          <w:rFonts w:ascii="Times New Roman" w:hAnsi="Times New Roman" w:cs="Times New Roman"/>
          <w:sz w:val="28"/>
          <w:szCs w:val="28"/>
        </w:rPr>
        <w:t>,</w:t>
      </w:r>
      <w:r w:rsidRPr="001F6927">
        <w:rPr>
          <w:rFonts w:ascii="Times New Roman" w:hAnsi="Times New Roman" w:cs="Times New Roman"/>
          <w:sz w:val="28"/>
          <w:szCs w:val="28"/>
        </w:rPr>
        <w:t xml:space="preserve"> energoefektivitāte, enerģijas tirgus u.c.), tomēr</w:t>
      </w:r>
      <w:r w:rsidR="00350B02" w:rsidRPr="001F6927">
        <w:rPr>
          <w:rFonts w:ascii="Times New Roman" w:hAnsi="Times New Roman" w:cs="Times New Roman"/>
          <w:sz w:val="28"/>
          <w:szCs w:val="28"/>
        </w:rPr>
        <w:t xml:space="preserve"> Ekonomikas ministrijas vērtējumā</w:t>
      </w:r>
      <w:r w:rsidRPr="001F6927">
        <w:rPr>
          <w:rFonts w:ascii="Times New Roman" w:hAnsi="Times New Roman" w:cs="Times New Roman"/>
          <w:sz w:val="28"/>
          <w:szCs w:val="28"/>
        </w:rPr>
        <w:t xml:space="preserve"> Latvijas valsts </w:t>
      </w:r>
      <w:r w:rsidR="00350B02" w:rsidRPr="001F6927">
        <w:rPr>
          <w:rFonts w:ascii="Times New Roman" w:hAnsi="Times New Roman" w:cs="Times New Roman"/>
          <w:sz w:val="28"/>
          <w:szCs w:val="28"/>
        </w:rPr>
        <w:t xml:space="preserve">dalība izstādē “Astana Expo 2017” </w:t>
      </w:r>
      <w:r w:rsidR="003A620C">
        <w:rPr>
          <w:rFonts w:ascii="Times New Roman" w:hAnsi="Times New Roman" w:cs="Times New Roman"/>
          <w:sz w:val="28"/>
          <w:szCs w:val="28"/>
        </w:rPr>
        <w:t xml:space="preserve">kopumā </w:t>
      </w:r>
      <w:r w:rsidR="00350B02" w:rsidRPr="001F6927">
        <w:rPr>
          <w:rFonts w:ascii="Times New Roman" w:hAnsi="Times New Roman" w:cs="Times New Roman"/>
          <w:sz w:val="28"/>
          <w:szCs w:val="28"/>
        </w:rPr>
        <w:t>neveicina enerģētikas politikas īstenošanu un tās mērķu sasniegšanu Latvijā</w:t>
      </w:r>
      <w:r w:rsidR="003A620C">
        <w:rPr>
          <w:rFonts w:ascii="Times New Roman" w:hAnsi="Times New Roman" w:cs="Times New Roman"/>
          <w:sz w:val="28"/>
          <w:szCs w:val="28"/>
        </w:rPr>
        <w:t xml:space="preserve"> šādu apsvērumu dēļ</w:t>
      </w:r>
      <w:r w:rsidR="00350B02" w:rsidRPr="001F6927">
        <w:rPr>
          <w:rFonts w:ascii="Times New Roman" w:hAnsi="Times New Roman" w:cs="Times New Roman"/>
          <w:sz w:val="28"/>
          <w:szCs w:val="28"/>
        </w:rPr>
        <w:t xml:space="preserve">. </w:t>
      </w:r>
    </w:p>
    <w:p w14:paraId="0B979074" w14:textId="2E1A3160" w:rsidR="00F8740E" w:rsidRPr="00B42B24" w:rsidRDefault="00350B02" w:rsidP="00386B45">
      <w:pPr>
        <w:pStyle w:val="ListParagraph"/>
        <w:numPr>
          <w:ilvl w:val="0"/>
          <w:numId w:val="16"/>
        </w:numPr>
        <w:tabs>
          <w:tab w:val="left" w:pos="993"/>
        </w:tabs>
        <w:spacing w:before="60" w:after="0" w:line="240" w:lineRule="auto"/>
        <w:ind w:left="0" w:firstLine="567"/>
        <w:contextualSpacing w:val="0"/>
        <w:jc w:val="both"/>
        <w:rPr>
          <w:rFonts w:ascii="Times New Roman" w:hAnsi="Times New Roman" w:cs="Times New Roman"/>
          <w:sz w:val="28"/>
          <w:szCs w:val="28"/>
        </w:rPr>
      </w:pPr>
      <w:r w:rsidRPr="00B42B24">
        <w:rPr>
          <w:rFonts w:ascii="Times New Roman" w:hAnsi="Times New Roman" w:cs="Times New Roman"/>
          <w:sz w:val="28"/>
          <w:szCs w:val="28"/>
        </w:rPr>
        <w:t>Energoefektivitātes, oglekļa izmešu, alternatīvās enerģijas un citu ar enerģētiku saistītu jautājumu risināšanai nepieciešamas izmaiņas normatīvajos regulējumos, papildus finansējums vai pētniecības un attīstības darbības</w:t>
      </w:r>
      <w:r w:rsidR="003A620C" w:rsidRPr="00B42B24">
        <w:rPr>
          <w:rFonts w:ascii="Times New Roman" w:hAnsi="Times New Roman" w:cs="Times New Roman"/>
          <w:sz w:val="28"/>
          <w:szCs w:val="28"/>
        </w:rPr>
        <w:t>, savukārt</w:t>
      </w:r>
      <w:r w:rsidR="0054053B">
        <w:rPr>
          <w:rFonts w:ascii="Times New Roman" w:hAnsi="Times New Roman" w:cs="Times New Roman"/>
          <w:sz w:val="28"/>
          <w:szCs w:val="28"/>
        </w:rPr>
        <w:t xml:space="preserve"> </w:t>
      </w:r>
      <w:r w:rsidRPr="00B42B24">
        <w:rPr>
          <w:rFonts w:ascii="Times New Roman" w:hAnsi="Times New Roman" w:cs="Times New Roman"/>
          <w:sz w:val="28"/>
          <w:szCs w:val="28"/>
        </w:rPr>
        <w:t xml:space="preserve">dalība </w:t>
      </w:r>
      <w:r w:rsidR="00B42B24" w:rsidRPr="00B42B24">
        <w:rPr>
          <w:rFonts w:ascii="Times New Roman" w:hAnsi="Times New Roman" w:cs="Times New Roman"/>
          <w:sz w:val="28"/>
          <w:szCs w:val="28"/>
        </w:rPr>
        <w:t>izstādē “Astana Expo 2017”</w:t>
      </w:r>
      <w:r w:rsidRPr="00B42B24">
        <w:rPr>
          <w:rFonts w:ascii="Times New Roman" w:hAnsi="Times New Roman" w:cs="Times New Roman"/>
          <w:sz w:val="28"/>
          <w:szCs w:val="28"/>
        </w:rPr>
        <w:t xml:space="preserve"> neveic nevienu no šiem uzdevumiem. </w:t>
      </w:r>
    </w:p>
    <w:p w14:paraId="508D744D" w14:textId="77777777" w:rsidR="00350B02" w:rsidRPr="00B42B24" w:rsidRDefault="0054053B" w:rsidP="00386B45">
      <w:pPr>
        <w:pStyle w:val="ListParagraph"/>
        <w:numPr>
          <w:ilvl w:val="0"/>
          <w:numId w:val="16"/>
        </w:numPr>
        <w:tabs>
          <w:tab w:val="left" w:pos="993"/>
        </w:tabs>
        <w:spacing w:before="60" w:after="0" w:line="240" w:lineRule="auto"/>
        <w:ind w:left="0" w:firstLine="567"/>
        <w:contextualSpacing w:val="0"/>
        <w:jc w:val="both"/>
        <w:rPr>
          <w:rFonts w:ascii="Times New Roman" w:hAnsi="Times New Roman" w:cs="Times New Roman"/>
          <w:sz w:val="28"/>
          <w:szCs w:val="28"/>
        </w:rPr>
      </w:pPr>
      <w:r w:rsidRPr="00B42B24">
        <w:rPr>
          <w:rFonts w:ascii="Times New Roman" w:hAnsi="Times New Roman" w:cs="Times New Roman"/>
          <w:sz w:val="28"/>
          <w:szCs w:val="28"/>
        </w:rPr>
        <w:t>Dalība</w:t>
      </w:r>
      <w:r>
        <w:rPr>
          <w:rFonts w:ascii="Times New Roman" w:hAnsi="Times New Roman" w:cs="Times New Roman"/>
          <w:sz w:val="28"/>
          <w:szCs w:val="28"/>
        </w:rPr>
        <w:t>s</w:t>
      </w:r>
      <w:r w:rsidRPr="00B42B24">
        <w:rPr>
          <w:rFonts w:ascii="Times New Roman" w:hAnsi="Times New Roman" w:cs="Times New Roman"/>
          <w:sz w:val="28"/>
          <w:szCs w:val="28"/>
        </w:rPr>
        <w:t xml:space="preserve"> </w:t>
      </w:r>
      <w:r w:rsidR="008B4654" w:rsidRPr="00B42B24">
        <w:rPr>
          <w:rFonts w:ascii="Times New Roman" w:hAnsi="Times New Roman" w:cs="Times New Roman"/>
          <w:sz w:val="28"/>
          <w:szCs w:val="28"/>
        </w:rPr>
        <w:t xml:space="preserve">izstādē “Astana Expo 2017” potenciāls </w:t>
      </w:r>
      <w:r w:rsidR="00F50CF9" w:rsidRPr="00B42B24">
        <w:rPr>
          <w:rFonts w:ascii="Times New Roman" w:hAnsi="Times New Roman" w:cs="Times New Roman"/>
          <w:sz w:val="28"/>
          <w:szCs w:val="28"/>
        </w:rPr>
        <w:t xml:space="preserve">ir </w:t>
      </w:r>
      <w:r w:rsidR="00975ABA" w:rsidRPr="00B42B24">
        <w:rPr>
          <w:rFonts w:ascii="Times New Roman" w:hAnsi="Times New Roman" w:cs="Times New Roman"/>
          <w:sz w:val="28"/>
          <w:szCs w:val="28"/>
        </w:rPr>
        <w:t>veicināt Latvijas enerģētikas un ar to saistīto nozaru uzņēmumu sadarbību ar uzņēmumiem Kazahstānā un citos reģionos</w:t>
      </w:r>
      <w:r w:rsidR="00F50ED5" w:rsidRPr="00B42B24">
        <w:rPr>
          <w:rFonts w:ascii="Times New Roman" w:hAnsi="Times New Roman" w:cs="Times New Roman"/>
          <w:sz w:val="28"/>
          <w:szCs w:val="28"/>
        </w:rPr>
        <w:t>, kuri tiks pārstāvēti izstādē</w:t>
      </w:r>
      <w:r w:rsidR="00975ABA" w:rsidRPr="00B42B24">
        <w:rPr>
          <w:rFonts w:ascii="Times New Roman" w:hAnsi="Times New Roman" w:cs="Times New Roman"/>
          <w:sz w:val="28"/>
          <w:szCs w:val="28"/>
        </w:rPr>
        <w:t xml:space="preserve">. </w:t>
      </w:r>
      <w:r w:rsidR="00996DEA">
        <w:rPr>
          <w:rFonts w:ascii="Times New Roman" w:hAnsi="Times New Roman" w:cs="Times New Roman"/>
          <w:sz w:val="28"/>
          <w:szCs w:val="28"/>
        </w:rPr>
        <w:t>Attiecīgi d</w:t>
      </w:r>
      <w:r w:rsidR="00975ABA" w:rsidRPr="00B42B24">
        <w:rPr>
          <w:rFonts w:ascii="Times New Roman" w:hAnsi="Times New Roman" w:cs="Times New Roman"/>
          <w:sz w:val="28"/>
          <w:szCs w:val="28"/>
        </w:rPr>
        <w:t>alībniekiem jānodrošina nacionālo paviljonu iekārtošanu saskaņā ar dalībni</w:t>
      </w:r>
      <w:r w:rsidR="00617383" w:rsidRPr="00B42B24">
        <w:rPr>
          <w:rFonts w:ascii="Times New Roman" w:hAnsi="Times New Roman" w:cs="Times New Roman"/>
          <w:sz w:val="28"/>
          <w:szCs w:val="28"/>
        </w:rPr>
        <w:t xml:space="preserve">eka izvēlēto izstādes apakštēmu un </w:t>
      </w:r>
      <w:r w:rsidR="0042797F" w:rsidRPr="00B42B24">
        <w:rPr>
          <w:rFonts w:ascii="Times New Roman" w:hAnsi="Times New Roman" w:cs="Times New Roman"/>
          <w:sz w:val="28"/>
          <w:szCs w:val="28"/>
        </w:rPr>
        <w:t>dalībnieku ekspozīcijas paredzētas četros tematiskajos paviljonos</w:t>
      </w:r>
      <w:r w:rsidR="003A620C" w:rsidRPr="00B42B24">
        <w:rPr>
          <w:rFonts w:ascii="Times New Roman" w:hAnsi="Times New Roman" w:cs="Times New Roman"/>
          <w:sz w:val="28"/>
          <w:szCs w:val="28"/>
        </w:rPr>
        <w:t xml:space="preserve">. Ņemot vērā minēto, </w:t>
      </w:r>
      <w:r w:rsidR="0042797F" w:rsidRPr="00B42B24">
        <w:rPr>
          <w:rFonts w:ascii="Times New Roman" w:hAnsi="Times New Roman" w:cs="Times New Roman"/>
          <w:sz w:val="28"/>
          <w:szCs w:val="28"/>
        </w:rPr>
        <w:t xml:space="preserve">būtu nepieciešams pieņemt lēmumu, kuras apakštēmas paviljonā veidot Latvijas ekspozīciju, tādejādi nosakot kuras jomas – oglekļa izmešu samazināšanas, alternatīvo enerģijas avotu, energoefektivitātes vai ilgtspējīgas plānošanas – uzņēmumi tiktu akcentēti, tādejādi </w:t>
      </w:r>
      <w:r w:rsidR="00F50ED5" w:rsidRPr="00B42B24">
        <w:rPr>
          <w:rFonts w:ascii="Times New Roman" w:hAnsi="Times New Roman" w:cs="Times New Roman"/>
          <w:sz w:val="28"/>
          <w:szCs w:val="28"/>
        </w:rPr>
        <w:t xml:space="preserve">nevienlīdzīgi sadalot un </w:t>
      </w:r>
      <w:r w:rsidR="0042797F" w:rsidRPr="00B42B24">
        <w:rPr>
          <w:rFonts w:ascii="Times New Roman" w:hAnsi="Times New Roman" w:cs="Times New Roman"/>
          <w:sz w:val="28"/>
          <w:szCs w:val="28"/>
        </w:rPr>
        <w:t>sašaurinot labuma guvēju loku.</w:t>
      </w:r>
    </w:p>
    <w:p w14:paraId="5DB396B9" w14:textId="77777777" w:rsidR="00FC066D" w:rsidRDefault="0054053B" w:rsidP="00386B45">
      <w:pPr>
        <w:pStyle w:val="ListParagraph"/>
        <w:numPr>
          <w:ilvl w:val="0"/>
          <w:numId w:val="16"/>
        </w:numPr>
        <w:tabs>
          <w:tab w:val="left" w:pos="993"/>
        </w:tabs>
        <w:spacing w:before="60"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D</w:t>
      </w:r>
      <w:r w:rsidR="0042797F" w:rsidRPr="00B42B24">
        <w:rPr>
          <w:rFonts w:ascii="Times New Roman" w:hAnsi="Times New Roman" w:cs="Times New Roman"/>
          <w:sz w:val="28"/>
          <w:szCs w:val="28"/>
        </w:rPr>
        <w:t xml:space="preserve">alība </w:t>
      </w:r>
      <w:r w:rsidR="00FC066D" w:rsidRPr="00B42B24">
        <w:rPr>
          <w:rFonts w:ascii="Times New Roman" w:hAnsi="Times New Roman" w:cs="Times New Roman"/>
          <w:sz w:val="28"/>
          <w:szCs w:val="28"/>
        </w:rPr>
        <w:t>izstādē “Astana Expo 2017”</w:t>
      </w:r>
      <w:r w:rsidR="0042797F" w:rsidRPr="00B42B24">
        <w:rPr>
          <w:rFonts w:ascii="Times New Roman" w:hAnsi="Times New Roman" w:cs="Times New Roman"/>
          <w:sz w:val="28"/>
          <w:szCs w:val="28"/>
        </w:rPr>
        <w:t xml:space="preserve">, veidojot nacionālu ekspozīciju vienā paviljonā, pēc būtības ir līdzīga </w:t>
      </w:r>
      <w:r w:rsidR="002332F4" w:rsidRPr="00B42B24">
        <w:rPr>
          <w:rFonts w:ascii="Times New Roman" w:hAnsi="Times New Roman" w:cs="Times New Roman"/>
          <w:sz w:val="28"/>
          <w:szCs w:val="28"/>
        </w:rPr>
        <w:t xml:space="preserve">darbības programmas "Uzņēmējdarbība un inovācijas" papildinājuma 2.3.1.1.aktivitātes "Ārējo tirgu apgūšana" 2.3.1.1.2.apakšaktivitātes "Ārējo tirgu apgūšana – nozaru starptautiskās konkurētspējas stiprināšana" ietvaros īstenotajam pasākumam – nacionālo stendu organizēšanai starptautiskajās izstādēs ārvalstīs. </w:t>
      </w:r>
    </w:p>
    <w:p w14:paraId="4DAA0E7F" w14:textId="77777777" w:rsidR="00FC066D" w:rsidRDefault="002332F4" w:rsidP="00386B45">
      <w:pPr>
        <w:pStyle w:val="ListParagraph"/>
        <w:tabs>
          <w:tab w:val="left" w:pos="993"/>
        </w:tabs>
        <w:spacing w:before="60" w:after="0" w:line="240" w:lineRule="auto"/>
        <w:ind w:left="0" w:firstLine="567"/>
        <w:contextualSpacing w:val="0"/>
        <w:jc w:val="both"/>
        <w:rPr>
          <w:rFonts w:ascii="Times New Roman" w:hAnsi="Times New Roman" w:cs="Times New Roman"/>
          <w:sz w:val="28"/>
          <w:szCs w:val="28"/>
        </w:rPr>
      </w:pPr>
      <w:r w:rsidRPr="00B42B24">
        <w:rPr>
          <w:rFonts w:ascii="Times New Roman" w:hAnsi="Times New Roman" w:cs="Times New Roman"/>
          <w:sz w:val="28"/>
          <w:szCs w:val="28"/>
        </w:rPr>
        <w:t xml:space="preserve">Projekta „Nozaru nacionālie stendi starptautiskajās izstādēs ārvalstīs un eksporta konsultācijas” ietvaros Latvijas Investīciju un attīstības aģentūra organizē nacionālos stendus starptautiskajās nozaru izstādēs gan Eiropas Savienībā, gan ārpus tās un nodrošina tajos Latvijas uzņēmēju līdzdalību, piedāvājot uzņēmējiem noteikta izmēra bezmaksas laukumu nacionālajā stendā, kā arī sniedzot atbalstu sagatavojoties izstādei, uzrunājot potenciālos partnerus, organizējot tikšanās un strādājot stendā. </w:t>
      </w:r>
    </w:p>
    <w:p w14:paraId="0FFB0F6E" w14:textId="1A917DA4" w:rsidR="00AD4DEF" w:rsidRDefault="002332F4" w:rsidP="00386B45">
      <w:pPr>
        <w:pStyle w:val="ListParagraph"/>
        <w:tabs>
          <w:tab w:val="left" w:pos="993"/>
        </w:tabs>
        <w:spacing w:before="60" w:after="0" w:line="240" w:lineRule="auto"/>
        <w:ind w:left="0" w:firstLine="567"/>
        <w:contextualSpacing w:val="0"/>
        <w:jc w:val="both"/>
        <w:rPr>
          <w:rFonts w:ascii="Times New Roman" w:hAnsi="Times New Roman" w:cs="Times New Roman"/>
          <w:sz w:val="28"/>
          <w:szCs w:val="28"/>
        </w:rPr>
      </w:pPr>
      <w:r w:rsidRPr="00B42B24">
        <w:rPr>
          <w:rFonts w:ascii="Times New Roman" w:hAnsi="Times New Roman" w:cs="Times New Roman"/>
          <w:sz w:val="28"/>
          <w:szCs w:val="28"/>
        </w:rPr>
        <w:t xml:space="preserve">2014.gadā nacionālie stendi tika organizēti 17 izstādēs ārvalstīs, piedaloties 133 komersantiem. </w:t>
      </w:r>
      <w:r w:rsidR="00747E15" w:rsidRPr="00B42B24">
        <w:rPr>
          <w:rFonts w:ascii="Times New Roman" w:hAnsi="Times New Roman" w:cs="Times New Roman"/>
          <w:sz w:val="28"/>
          <w:szCs w:val="28"/>
        </w:rPr>
        <w:t>Visu n</w:t>
      </w:r>
      <w:r w:rsidRPr="00B42B24">
        <w:rPr>
          <w:rFonts w:ascii="Times New Roman" w:hAnsi="Times New Roman" w:cs="Times New Roman"/>
          <w:sz w:val="28"/>
          <w:szCs w:val="28"/>
        </w:rPr>
        <w:t>acionālo stendu organizēšanas</w:t>
      </w:r>
      <w:r w:rsidR="00747E15" w:rsidRPr="00B42B24">
        <w:rPr>
          <w:rFonts w:ascii="Times New Roman" w:hAnsi="Times New Roman" w:cs="Times New Roman"/>
          <w:sz w:val="28"/>
          <w:szCs w:val="28"/>
        </w:rPr>
        <w:t xml:space="preserve"> kopējās</w:t>
      </w:r>
      <w:r w:rsidRPr="00B42B24">
        <w:rPr>
          <w:rFonts w:ascii="Times New Roman" w:hAnsi="Times New Roman" w:cs="Times New Roman"/>
          <w:sz w:val="28"/>
          <w:szCs w:val="28"/>
        </w:rPr>
        <w:t xml:space="preserve"> izmaksas 2014.gadā bija </w:t>
      </w:r>
      <w:r w:rsidR="00747E15" w:rsidRPr="00B42B24">
        <w:rPr>
          <w:rFonts w:ascii="Times New Roman" w:hAnsi="Times New Roman" w:cs="Times New Roman"/>
          <w:sz w:val="28"/>
          <w:szCs w:val="28"/>
        </w:rPr>
        <w:t>1</w:t>
      </w:r>
      <w:r w:rsidR="00F50ED5" w:rsidRPr="00B42B24">
        <w:rPr>
          <w:rFonts w:ascii="Times New Roman" w:hAnsi="Times New Roman" w:cs="Times New Roman"/>
          <w:sz w:val="28"/>
          <w:szCs w:val="28"/>
        </w:rPr>
        <w:t> 095 </w:t>
      </w:r>
      <w:r w:rsidR="00747E15" w:rsidRPr="00B42B24">
        <w:rPr>
          <w:rFonts w:ascii="Times New Roman" w:hAnsi="Times New Roman" w:cs="Times New Roman"/>
          <w:sz w:val="28"/>
          <w:szCs w:val="28"/>
        </w:rPr>
        <w:t xml:space="preserve">238,96 EUR, kas ir </w:t>
      </w:r>
      <w:r w:rsidR="00F50ED5" w:rsidRPr="00B42B24">
        <w:rPr>
          <w:rFonts w:ascii="Times New Roman" w:hAnsi="Times New Roman" w:cs="Times New Roman"/>
          <w:sz w:val="28"/>
          <w:szCs w:val="28"/>
        </w:rPr>
        <w:t>par 34 288,96 EUR</w:t>
      </w:r>
      <w:r w:rsidR="00747E15" w:rsidRPr="00B42B24">
        <w:rPr>
          <w:rFonts w:ascii="Times New Roman" w:hAnsi="Times New Roman" w:cs="Times New Roman"/>
          <w:sz w:val="28"/>
          <w:szCs w:val="28"/>
        </w:rPr>
        <w:t xml:space="preserve"> vairāk kā izstādes “Astana Expo 2017” organizatora aplēstās izmaksas 1 060 950 EUR apmērā </w:t>
      </w:r>
      <w:r w:rsidR="00E31159">
        <w:rPr>
          <w:rFonts w:ascii="Times New Roman" w:hAnsi="Times New Roman" w:cs="Times New Roman"/>
          <w:sz w:val="28"/>
          <w:szCs w:val="28"/>
        </w:rPr>
        <w:t xml:space="preserve">dalībniekam ar </w:t>
      </w:r>
      <w:r w:rsidR="00747E15" w:rsidRPr="00B42B24">
        <w:rPr>
          <w:rFonts w:ascii="Times New Roman" w:hAnsi="Times New Roman" w:cs="Times New Roman"/>
          <w:sz w:val="28"/>
          <w:szCs w:val="28"/>
        </w:rPr>
        <w:t>550 m</w:t>
      </w:r>
      <w:r w:rsidR="00747E15" w:rsidRPr="00B42B24">
        <w:rPr>
          <w:rFonts w:ascii="Times New Roman" w:hAnsi="Times New Roman" w:cs="Times New Roman"/>
          <w:sz w:val="28"/>
          <w:szCs w:val="28"/>
          <w:vertAlign w:val="superscript"/>
        </w:rPr>
        <w:t xml:space="preserve">2 </w:t>
      </w:r>
      <w:r w:rsidR="00E31159" w:rsidRPr="00B42B24">
        <w:rPr>
          <w:rFonts w:ascii="Times New Roman" w:hAnsi="Times New Roman" w:cs="Times New Roman"/>
          <w:sz w:val="28"/>
          <w:szCs w:val="28"/>
        </w:rPr>
        <w:t>plaš</w:t>
      </w:r>
      <w:r w:rsidR="00E31159">
        <w:rPr>
          <w:rFonts w:ascii="Times New Roman" w:hAnsi="Times New Roman" w:cs="Times New Roman"/>
          <w:sz w:val="28"/>
          <w:szCs w:val="28"/>
        </w:rPr>
        <w:t>u</w:t>
      </w:r>
      <w:r w:rsidR="00E31159" w:rsidRPr="00B42B24">
        <w:rPr>
          <w:rFonts w:ascii="Times New Roman" w:hAnsi="Times New Roman" w:cs="Times New Roman"/>
          <w:sz w:val="28"/>
          <w:szCs w:val="28"/>
        </w:rPr>
        <w:t xml:space="preserve"> paviljon</w:t>
      </w:r>
      <w:r w:rsidR="00E31159">
        <w:rPr>
          <w:rFonts w:ascii="Times New Roman" w:hAnsi="Times New Roman" w:cs="Times New Roman"/>
          <w:sz w:val="28"/>
          <w:szCs w:val="28"/>
        </w:rPr>
        <w:t>u</w:t>
      </w:r>
      <w:r w:rsidR="00747E15" w:rsidRPr="00B42B24">
        <w:rPr>
          <w:rFonts w:ascii="Times New Roman" w:hAnsi="Times New Roman" w:cs="Times New Roman"/>
          <w:sz w:val="28"/>
          <w:szCs w:val="28"/>
        </w:rPr>
        <w:t xml:space="preserve">. </w:t>
      </w:r>
    </w:p>
    <w:p w14:paraId="2D8BBB04" w14:textId="77777777" w:rsidR="00227FE8" w:rsidRDefault="00747E15" w:rsidP="00386B45">
      <w:pPr>
        <w:pStyle w:val="ListParagraph"/>
        <w:tabs>
          <w:tab w:val="left" w:pos="993"/>
        </w:tabs>
        <w:spacing w:before="60" w:after="0" w:line="240" w:lineRule="auto"/>
        <w:ind w:left="0" w:firstLine="567"/>
        <w:contextualSpacing w:val="0"/>
        <w:jc w:val="both"/>
        <w:rPr>
          <w:rFonts w:ascii="Times New Roman" w:hAnsi="Times New Roman" w:cs="Times New Roman"/>
          <w:sz w:val="28"/>
          <w:szCs w:val="28"/>
        </w:rPr>
      </w:pPr>
      <w:r w:rsidRPr="00B42B24">
        <w:rPr>
          <w:rFonts w:ascii="Times New Roman" w:hAnsi="Times New Roman" w:cs="Times New Roman"/>
          <w:sz w:val="28"/>
          <w:szCs w:val="28"/>
        </w:rPr>
        <w:t>Jānorāda, ka 17 nacionālie stendi sniedza iespēju veicināt sadarbību ar ārvalstu partneriem būvniecības un mēbeļu, inženiernozaru, pārtikas rūpniecības un citu nozaru uzņēmumiem, tādejādi dažādojot valsts atbalstu saņēmušo nozaru loku</w:t>
      </w:r>
      <w:r w:rsidR="00F50ED5" w:rsidRPr="00B42B24">
        <w:rPr>
          <w:rFonts w:ascii="Times New Roman" w:hAnsi="Times New Roman" w:cs="Times New Roman"/>
          <w:sz w:val="28"/>
          <w:szCs w:val="28"/>
        </w:rPr>
        <w:t xml:space="preserve"> un sniedzot atbalstu mērķtiecīgi nozaru vadošajās starptautiskajās izstādēs</w:t>
      </w:r>
      <w:r w:rsidRPr="00B42B24">
        <w:rPr>
          <w:rFonts w:ascii="Times New Roman" w:hAnsi="Times New Roman" w:cs="Times New Roman"/>
          <w:sz w:val="28"/>
          <w:szCs w:val="28"/>
        </w:rPr>
        <w:t xml:space="preserve">. </w:t>
      </w:r>
      <w:r w:rsidRPr="00B42B24">
        <w:rPr>
          <w:rFonts w:ascii="Times New Roman" w:hAnsi="Times New Roman" w:cs="Times New Roman"/>
          <w:sz w:val="28"/>
          <w:szCs w:val="28"/>
        </w:rPr>
        <w:lastRenderedPageBreak/>
        <w:t>Turklāt Latvijas Investīciju un attīstības aģentūras sniegtie valsts eksporta atbal</w:t>
      </w:r>
      <w:r w:rsidR="00D33C85" w:rsidRPr="00B42B24">
        <w:rPr>
          <w:rFonts w:ascii="Times New Roman" w:hAnsi="Times New Roman" w:cs="Times New Roman"/>
          <w:sz w:val="28"/>
          <w:szCs w:val="28"/>
        </w:rPr>
        <w:t>sta pakalpojumi</w:t>
      </w:r>
      <w:r w:rsidR="00F50ED5" w:rsidRPr="00B42B24">
        <w:rPr>
          <w:rFonts w:ascii="Times New Roman" w:hAnsi="Times New Roman" w:cs="Times New Roman"/>
          <w:sz w:val="28"/>
          <w:szCs w:val="28"/>
        </w:rPr>
        <w:t>, t.sk.</w:t>
      </w:r>
      <w:r w:rsidR="00996DEA">
        <w:rPr>
          <w:rFonts w:ascii="Times New Roman" w:hAnsi="Times New Roman" w:cs="Times New Roman"/>
          <w:sz w:val="28"/>
          <w:szCs w:val="28"/>
        </w:rPr>
        <w:t>,</w:t>
      </w:r>
      <w:r w:rsidR="00F50ED5" w:rsidRPr="00B42B24">
        <w:rPr>
          <w:rFonts w:ascii="Times New Roman" w:hAnsi="Times New Roman" w:cs="Times New Roman"/>
          <w:sz w:val="28"/>
          <w:szCs w:val="28"/>
        </w:rPr>
        <w:t xml:space="preserve"> nacionālo stendu organizēšana,</w:t>
      </w:r>
      <w:r w:rsidR="00D33C85" w:rsidRPr="00B42B24">
        <w:rPr>
          <w:rFonts w:ascii="Times New Roman" w:hAnsi="Times New Roman" w:cs="Times New Roman"/>
          <w:sz w:val="28"/>
          <w:szCs w:val="28"/>
        </w:rPr>
        <w:t xml:space="preserve"> tiek fokusēti uz Latvijas preču un pakalpojumu eksporta veicināšanas un ārvalstu investīciju piesaistes pamatnostādnē</w:t>
      </w:r>
      <w:r w:rsidR="00F50ED5" w:rsidRPr="00B42B24">
        <w:rPr>
          <w:rFonts w:ascii="Times New Roman" w:hAnsi="Times New Roman" w:cs="Times New Roman"/>
          <w:sz w:val="28"/>
          <w:szCs w:val="28"/>
        </w:rPr>
        <w:t>s 2013.</w:t>
      </w:r>
      <w:r w:rsidR="00F50ED5" w:rsidRPr="00B42B24">
        <w:rPr>
          <w:rFonts w:ascii="Times New Roman" w:hAnsi="Times New Roman" w:cs="Times New Roman"/>
          <w:sz w:val="28"/>
          <w:szCs w:val="28"/>
        </w:rPr>
        <w:noBreakHyphen/>
      </w:r>
      <w:r w:rsidR="00D33C85" w:rsidRPr="00B42B24">
        <w:rPr>
          <w:rFonts w:ascii="Times New Roman" w:hAnsi="Times New Roman" w:cs="Times New Roman"/>
          <w:sz w:val="28"/>
          <w:szCs w:val="28"/>
        </w:rPr>
        <w:t>2019.gadam definētajiem</w:t>
      </w:r>
      <w:r w:rsidRPr="00B42B24">
        <w:rPr>
          <w:rFonts w:ascii="Times New Roman" w:hAnsi="Times New Roman" w:cs="Times New Roman"/>
          <w:sz w:val="28"/>
          <w:szCs w:val="28"/>
        </w:rPr>
        <w:t xml:space="preserve"> mērķa tirgiem, </w:t>
      </w:r>
      <w:r w:rsidR="00D33C85" w:rsidRPr="00B42B24">
        <w:rPr>
          <w:rFonts w:ascii="Times New Roman" w:hAnsi="Times New Roman" w:cs="Times New Roman"/>
          <w:sz w:val="28"/>
          <w:szCs w:val="28"/>
        </w:rPr>
        <w:t xml:space="preserve">tādejādi sniedzot ieguldījumu eksporta veicināšanas politikas </w:t>
      </w:r>
      <w:r w:rsidR="00A44C1D" w:rsidRPr="00B42B24">
        <w:rPr>
          <w:rFonts w:ascii="Times New Roman" w:hAnsi="Times New Roman" w:cs="Times New Roman"/>
          <w:sz w:val="28"/>
          <w:szCs w:val="28"/>
        </w:rPr>
        <w:t xml:space="preserve">ieviešanā un </w:t>
      </w:r>
      <w:r w:rsidR="00D33C85" w:rsidRPr="00B42B24">
        <w:rPr>
          <w:rFonts w:ascii="Times New Roman" w:hAnsi="Times New Roman" w:cs="Times New Roman"/>
          <w:sz w:val="28"/>
          <w:szCs w:val="28"/>
        </w:rPr>
        <w:t>mērķu sasniegšanā</w:t>
      </w:r>
      <w:r w:rsidRPr="00B42B24">
        <w:rPr>
          <w:rFonts w:ascii="Times New Roman" w:hAnsi="Times New Roman" w:cs="Times New Roman"/>
          <w:sz w:val="28"/>
          <w:szCs w:val="28"/>
        </w:rPr>
        <w:t>.</w:t>
      </w:r>
      <w:r w:rsidR="00D33C85" w:rsidRPr="00B42B24">
        <w:rPr>
          <w:rFonts w:ascii="Times New Roman" w:hAnsi="Times New Roman" w:cs="Times New Roman"/>
          <w:sz w:val="28"/>
          <w:szCs w:val="28"/>
        </w:rPr>
        <w:t xml:space="preserve"> Tādēļ secināms, ka dalība izstādē “Astana Expo 2017” ar mērķi veicināt Latvijas uzņēmumu eksportu uzskatāma par nesamērīgi dārgu, salīdzinot ar</w:t>
      </w:r>
      <w:r w:rsidR="00A44C1D" w:rsidRPr="00B42B24">
        <w:rPr>
          <w:rFonts w:ascii="Times New Roman" w:hAnsi="Times New Roman" w:cs="Times New Roman"/>
          <w:sz w:val="28"/>
          <w:szCs w:val="28"/>
        </w:rPr>
        <w:t xml:space="preserve"> citiem</w:t>
      </w:r>
      <w:r w:rsidR="00D33C85" w:rsidRPr="00B42B24">
        <w:rPr>
          <w:rFonts w:ascii="Times New Roman" w:hAnsi="Times New Roman" w:cs="Times New Roman"/>
          <w:sz w:val="28"/>
          <w:szCs w:val="28"/>
        </w:rPr>
        <w:t xml:space="preserve"> </w:t>
      </w:r>
      <w:r w:rsidR="00A44C1D" w:rsidRPr="00B42B24">
        <w:rPr>
          <w:rFonts w:ascii="Times New Roman" w:hAnsi="Times New Roman" w:cs="Times New Roman"/>
          <w:sz w:val="28"/>
          <w:szCs w:val="28"/>
        </w:rPr>
        <w:t xml:space="preserve">uzņēmumiem </w:t>
      </w:r>
      <w:r w:rsidR="00D33C85" w:rsidRPr="00B42B24">
        <w:rPr>
          <w:rFonts w:ascii="Times New Roman" w:hAnsi="Times New Roman" w:cs="Times New Roman"/>
          <w:sz w:val="28"/>
          <w:szCs w:val="28"/>
        </w:rPr>
        <w:t xml:space="preserve">pieejamajiem jaunu </w:t>
      </w:r>
      <w:r w:rsidR="00A44C1D" w:rsidRPr="00B42B24">
        <w:rPr>
          <w:rFonts w:ascii="Times New Roman" w:hAnsi="Times New Roman" w:cs="Times New Roman"/>
          <w:sz w:val="28"/>
          <w:szCs w:val="28"/>
        </w:rPr>
        <w:t xml:space="preserve">noieta </w:t>
      </w:r>
      <w:r w:rsidR="00D33C85" w:rsidRPr="00B42B24">
        <w:rPr>
          <w:rFonts w:ascii="Times New Roman" w:hAnsi="Times New Roman" w:cs="Times New Roman"/>
          <w:sz w:val="28"/>
          <w:szCs w:val="28"/>
        </w:rPr>
        <w:t xml:space="preserve">tirgu apguves atbalsta instrumentiem. Gadījumā, ja Latvija piedalās izstādē “Astana Expo 2017”, nepieciešamais finansējums jāparedz ikgadējā valsts budžetā gan 2016., gan 2017.gadam, savukārt projektam </w:t>
      </w:r>
      <w:r w:rsidR="00A44C1D" w:rsidRPr="00B42B24">
        <w:rPr>
          <w:rFonts w:ascii="Times New Roman" w:hAnsi="Times New Roman" w:cs="Times New Roman"/>
          <w:sz w:val="28"/>
          <w:szCs w:val="28"/>
        </w:rPr>
        <w:t>“</w:t>
      </w:r>
      <w:r w:rsidR="00D33C85" w:rsidRPr="00B42B24">
        <w:rPr>
          <w:rFonts w:ascii="Times New Roman" w:hAnsi="Times New Roman" w:cs="Times New Roman"/>
          <w:sz w:val="28"/>
          <w:szCs w:val="28"/>
        </w:rPr>
        <w:t>Nozaru nacionālie stendi starptautiskajās izstādēs ārvalstīs un eksporta konsultācijas” paredzēts Eiropas Reģionālās attīstības fonda finansējums 2014.–2020.gada plānošanas periodā.</w:t>
      </w:r>
    </w:p>
    <w:p w14:paraId="649249F0" w14:textId="77777777" w:rsidR="00074567" w:rsidRPr="00B42B24" w:rsidRDefault="00074567" w:rsidP="00386B45">
      <w:pPr>
        <w:pStyle w:val="ListParagraph"/>
        <w:tabs>
          <w:tab w:val="left" w:pos="993"/>
        </w:tabs>
        <w:spacing w:after="0" w:line="240" w:lineRule="auto"/>
        <w:ind w:left="0" w:firstLine="567"/>
        <w:contextualSpacing w:val="0"/>
        <w:jc w:val="both"/>
        <w:rPr>
          <w:rFonts w:ascii="Times New Roman" w:hAnsi="Times New Roman" w:cs="Times New Roman"/>
          <w:sz w:val="28"/>
          <w:szCs w:val="28"/>
        </w:rPr>
      </w:pPr>
    </w:p>
    <w:p w14:paraId="5B2B72F3" w14:textId="77777777" w:rsidR="009F7C71" w:rsidRDefault="00074567" w:rsidP="00386B45">
      <w:pPr>
        <w:spacing w:after="0" w:line="240" w:lineRule="auto"/>
        <w:ind w:firstLine="567"/>
        <w:jc w:val="both"/>
        <w:rPr>
          <w:rFonts w:ascii="Times New Roman" w:hAnsi="Times New Roman" w:cs="Times New Roman"/>
          <w:sz w:val="28"/>
          <w:szCs w:val="28"/>
        </w:rPr>
      </w:pPr>
      <w:r w:rsidRPr="00074567">
        <w:rPr>
          <w:rFonts w:ascii="Times New Roman" w:hAnsi="Times New Roman" w:cs="Times New Roman"/>
          <w:sz w:val="28"/>
          <w:szCs w:val="28"/>
        </w:rPr>
        <w:t>Kopumā secināms</w:t>
      </w:r>
      <w:r>
        <w:rPr>
          <w:rFonts w:ascii="Times New Roman" w:hAnsi="Times New Roman" w:cs="Times New Roman"/>
          <w:sz w:val="28"/>
          <w:szCs w:val="28"/>
        </w:rPr>
        <w:t>, ka</w:t>
      </w:r>
      <w:r w:rsidRPr="00074567">
        <w:rPr>
          <w:rFonts w:ascii="Times New Roman" w:hAnsi="Times New Roman" w:cs="Times New Roman"/>
          <w:sz w:val="28"/>
          <w:szCs w:val="28"/>
        </w:rPr>
        <w:t xml:space="preserve"> </w:t>
      </w:r>
      <w:r>
        <w:rPr>
          <w:rFonts w:ascii="Times New Roman" w:hAnsi="Times New Roman" w:cs="Times New Roman"/>
          <w:sz w:val="28"/>
          <w:szCs w:val="28"/>
        </w:rPr>
        <w:t>d</w:t>
      </w:r>
      <w:r w:rsidRPr="00B42B24">
        <w:rPr>
          <w:rFonts w:ascii="Times New Roman" w:hAnsi="Times New Roman" w:cs="Times New Roman"/>
          <w:sz w:val="28"/>
          <w:szCs w:val="28"/>
        </w:rPr>
        <w:t>alība</w:t>
      </w:r>
      <w:r>
        <w:rPr>
          <w:rFonts w:ascii="Times New Roman" w:hAnsi="Times New Roman" w:cs="Times New Roman"/>
          <w:sz w:val="28"/>
          <w:szCs w:val="28"/>
        </w:rPr>
        <w:t>s</w:t>
      </w:r>
      <w:r w:rsidRPr="00B42B24">
        <w:rPr>
          <w:rFonts w:ascii="Times New Roman" w:hAnsi="Times New Roman" w:cs="Times New Roman"/>
          <w:sz w:val="28"/>
          <w:szCs w:val="28"/>
        </w:rPr>
        <w:t xml:space="preserve"> izstādē “Astana Expo 2017” potenciāls ir veicināt Latvijas enerģētikas un ar to saistīto nozaru uzņēmumu sadarbību ar uzņēmumiem Kazahstānā un citos reģionos, kuri tiks pārstāvēti izstādē</w:t>
      </w:r>
      <w:r>
        <w:rPr>
          <w:rFonts w:ascii="Times New Roman" w:hAnsi="Times New Roman" w:cs="Times New Roman"/>
          <w:sz w:val="28"/>
          <w:szCs w:val="28"/>
        </w:rPr>
        <w:t>, vienlaikus</w:t>
      </w:r>
      <w:r w:rsidR="00592276" w:rsidRPr="00592276">
        <w:rPr>
          <w:rFonts w:ascii="Times New Roman" w:hAnsi="Times New Roman" w:cs="Times New Roman"/>
          <w:sz w:val="28"/>
          <w:szCs w:val="28"/>
        </w:rPr>
        <w:t xml:space="preserve"> </w:t>
      </w:r>
      <w:r w:rsidR="00592276">
        <w:rPr>
          <w:rFonts w:ascii="Times New Roman" w:hAnsi="Times New Roman" w:cs="Times New Roman"/>
          <w:sz w:val="28"/>
          <w:szCs w:val="28"/>
        </w:rPr>
        <w:t xml:space="preserve">dalība kopumā </w:t>
      </w:r>
      <w:r w:rsidR="00592276" w:rsidRPr="001F6927">
        <w:rPr>
          <w:rFonts w:ascii="Times New Roman" w:hAnsi="Times New Roman" w:cs="Times New Roman"/>
          <w:sz w:val="28"/>
          <w:szCs w:val="28"/>
        </w:rPr>
        <w:t>neveicina enerģētikas politikas īstenošanu un tās mērķu sasniegšanu Latvijā</w:t>
      </w:r>
      <w:r w:rsidR="00592276">
        <w:rPr>
          <w:rFonts w:ascii="Times New Roman" w:hAnsi="Times New Roman" w:cs="Times New Roman"/>
          <w:sz w:val="28"/>
          <w:szCs w:val="28"/>
        </w:rPr>
        <w:t xml:space="preserve"> un </w:t>
      </w:r>
      <w:r>
        <w:rPr>
          <w:rFonts w:ascii="Times New Roman" w:hAnsi="Times New Roman" w:cs="Times New Roman"/>
          <w:sz w:val="28"/>
          <w:szCs w:val="28"/>
        </w:rPr>
        <w:t>ar</w:t>
      </w:r>
      <w:r w:rsidR="00592276">
        <w:rPr>
          <w:rFonts w:ascii="Times New Roman" w:hAnsi="Times New Roman" w:cs="Times New Roman"/>
          <w:sz w:val="28"/>
          <w:szCs w:val="28"/>
        </w:rPr>
        <w:t xml:space="preserve"> vienreizējo</w:t>
      </w:r>
      <w:r>
        <w:rPr>
          <w:rFonts w:ascii="Times New Roman" w:hAnsi="Times New Roman" w:cs="Times New Roman"/>
          <w:sz w:val="28"/>
          <w:szCs w:val="28"/>
        </w:rPr>
        <w:t xml:space="preserve"> dalību saistītās izmaksas ir nesamērīgi augstas un Latvijas </w:t>
      </w:r>
      <w:r w:rsidR="00E31159">
        <w:rPr>
          <w:rFonts w:ascii="Times New Roman" w:hAnsi="Times New Roman" w:cs="Times New Roman"/>
          <w:sz w:val="28"/>
          <w:szCs w:val="28"/>
        </w:rPr>
        <w:t xml:space="preserve">valsts </w:t>
      </w:r>
      <w:r>
        <w:rPr>
          <w:rFonts w:ascii="Times New Roman" w:hAnsi="Times New Roman" w:cs="Times New Roman"/>
          <w:sz w:val="28"/>
          <w:szCs w:val="28"/>
        </w:rPr>
        <w:t>rīcībā ir alternatīvi instrumenti, kā veicināt nozaru uzņēmumu starptautiskās sadarbības iespējas un investīciju piesaisti Latvijā.</w:t>
      </w:r>
      <w:r w:rsidR="00592276">
        <w:rPr>
          <w:rFonts w:ascii="Times New Roman" w:hAnsi="Times New Roman" w:cs="Times New Roman"/>
          <w:sz w:val="28"/>
          <w:szCs w:val="28"/>
        </w:rPr>
        <w:t xml:space="preserve"> Līdz ar to ir pieņemams lēmums par atteikumu </w:t>
      </w:r>
      <w:r w:rsidR="00592276" w:rsidRPr="001F6927">
        <w:rPr>
          <w:rFonts w:ascii="Times New Roman" w:hAnsi="Times New Roman" w:cs="Times New Roman"/>
          <w:sz w:val="28"/>
          <w:szCs w:val="28"/>
        </w:rPr>
        <w:t>Latvijas valsts dalība</w:t>
      </w:r>
      <w:r w:rsidR="00592276">
        <w:rPr>
          <w:rFonts w:ascii="Times New Roman" w:hAnsi="Times New Roman" w:cs="Times New Roman"/>
          <w:sz w:val="28"/>
          <w:szCs w:val="28"/>
        </w:rPr>
        <w:t>i</w:t>
      </w:r>
      <w:r w:rsidR="003F1075">
        <w:rPr>
          <w:rFonts w:ascii="Times New Roman" w:hAnsi="Times New Roman" w:cs="Times New Roman"/>
          <w:sz w:val="28"/>
          <w:szCs w:val="28"/>
        </w:rPr>
        <w:t xml:space="preserve"> izstādē “Astana Expo 2017”.</w:t>
      </w:r>
    </w:p>
    <w:p w14:paraId="2CE5AA4C" w14:textId="77777777" w:rsidR="00074567" w:rsidRPr="001F6927" w:rsidRDefault="00074567" w:rsidP="00386B45">
      <w:pPr>
        <w:spacing w:after="0" w:line="240" w:lineRule="auto"/>
        <w:ind w:firstLine="567"/>
        <w:jc w:val="both"/>
        <w:rPr>
          <w:rFonts w:ascii="Times New Roman" w:hAnsi="Times New Roman" w:cs="Times New Roman"/>
          <w:sz w:val="28"/>
          <w:szCs w:val="28"/>
        </w:rPr>
      </w:pPr>
    </w:p>
    <w:p w14:paraId="01C2ED2C" w14:textId="77777777" w:rsidR="00FB0408" w:rsidRPr="001F6927" w:rsidRDefault="003A620C" w:rsidP="00386B45">
      <w:pPr>
        <w:pStyle w:val="ListParagraph"/>
        <w:numPr>
          <w:ilvl w:val="0"/>
          <w:numId w:val="6"/>
        </w:numPr>
        <w:spacing w:before="240"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Priekšlikumi tur</w:t>
      </w:r>
      <w:r w:rsidR="003F1075">
        <w:rPr>
          <w:rFonts w:ascii="Times New Roman" w:hAnsi="Times New Roman" w:cs="Times New Roman"/>
          <w:b/>
          <w:sz w:val="28"/>
          <w:szCs w:val="28"/>
        </w:rPr>
        <w:t>p</w:t>
      </w:r>
      <w:r>
        <w:rPr>
          <w:rFonts w:ascii="Times New Roman" w:hAnsi="Times New Roman" w:cs="Times New Roman"/>
          <w:b/>
          <w:sz w:val="28"/>
          <w:szCs w:val="28"/>
        </w:rPr>
        <w:t>mākai</w:t>
      </w:r>
      <w:r w:rsidR="00D33C85" w:rsidRPr="001F6927">
        <w:rPr>
          <w:rFonts w:ascii="Times New Roman" w:hAnsi="Times New Roman" w:cs="Times New Roman"/>
          <w:b/>
          <w:sz w:val="28"/>
          <w:szCs w:val="28"/>
        </w:rPr>
        <w:t xml:space="preserve"> rīcība</w:t>
      </w:r>
      <w:r>
        <w:rPr>
          <w:rFonts w:ascii="Times New Roman" w:hAnsi="Times New Roman" w:cs="Times New Roman"/>
          <w:b/>
          <w:sz w:val="28"/>
          <w:szCs w:val="28"/>
        </w:rPr>
        <w:t>i</w:t>
      </w:r>
    </w:p>
    <w:p w14:paraId="2E115002" w14:textId="77777777" w:rsidR="00FB0408" w:rsidRPr="001F6927" w:rsidRDefault="00D33C85" w:rsidP="00386B45">
      <w:pPr>
        <w:spacing w:before="60" w:after="0" w:line="240" w:lineRule="auto"/>
        <w:ind w:firstLine="567"/>
        <w:contextualSpacing/>
        <w:jc w:val="both"/>
        <w:rPr>
          <w:rFonts w:ascii="Times New Roman" w:hAnsi="Times New Roman" w:cs="Times New Roman"/>
          <w:sz w:val="28"/>
          <w:szCs w:val="28"/>
        </w:rPr>
      </w:pPr>
      <w:r w:rsidRPr="001F6927">
        <w:rPr>
          <w:rFonts w:ascii="Times New Roman" w:hAnsi="Times New Roman" w:cs="Times New Roman"/>
          <w:sz w:val="28"/>
          <w:szCs w:val="28"/>
        </w:rPr>
        <w:t>Ņemot vērā Latvijas dalības izstādē “Astana Expo 2017”</w:t>
      </w:r>
      <w:r w:rsidR="00A201AF" w:rsidRPr="001F6927">
        <w:rPr>
          <w:rFonts w:ascii="Times New Roman" w:hAnsi="Times New Roman" w:cs="Times New Roman"/>
          <w:sz w:val="28"/>
          <w:szCs w:val="28"/>
        </w:rPr>
        <w:t xml:space="preserve"> paredzamās izmaksas un ieguvumus, Ekonomikas ministrija aicina:</w:t>
      </w:r>
    </w:p>
    <w:p w14:paraId="693717D8" w14:textId="77777777" w:rsidR="00A201AF" w:rsidRPr="001F6927" w:rsidRDefault="00A201AF" w:rsidP="00386B45">
      <w:pPr>
        <w:pStyle w:val="ListParagraph"/>
        <w:numPr>
          <w:ilvl w:val="0"/>
          <w:numId w:val="4"/>
        </w:numPr>
        <w:spacing w:before="60" w:after="0" w:line="240" w:lineRule="auto"/>
        <w:ind w:left="426" w:firstLine="567"/>
        <w:jc w:val="both"/>
        <w:rPr>
          <w:rFonts w:ascii="Times New Roman" w:hAnsi="Times New Roman" w:cs="Times New Roman"/>
          <w:sz w:val="28"/>
          <w:szCs w:val="28"/>
        </w:rPr>
      </w:pPr>
      <w:r w:rsidRPr="001F6927">
        <w:rPr>
          <w:rFonts w:ascii="Times New Roman" w:hAnsi="Times New Roman" w:cs="Times New Roman"/>
          <w:sz w:val="28"/>
          <w:szCs w:val="28"/>
        </w:rPr>
        <w:t>pieņemt zināšanai informatīvo ziņojumu par Latvijas dalību izstādē “Astana Expo 2017”;</w:t>
      </w:r>
    </w:p>
    <w:p w14:paraId="019AB661" w14:textId="77777777" w:rsidR="00A201AF" w:rsidRPr="001F6927" w:rsidRDefault="00A201AF" w:rsidP="00386B45">
      <w:pPr>
        <w:pStyle w:val="ListParagraph"/>
        <w:numPr>
          <w:ilvl w:val="0"/>
          <w:numId w:val="4"/>
        </w:numPr>
        <w:spacing w:before="60" w:after="0" w:line="240" w:lineRule="auto"/>
        <w:ind w:left="426" w:firstLine="567"/>
        <w:jc w:val="both"/>
        <w:rPr>
          <w:rFonts w:ascii="Times New Roman" w:hAnsi="Times New Roman" w:cs="Times New Roman"/>
          <w:sz w:val="28"/>
          <w:szCs w:val="28"/>
        </w:rPr>
      </w:pPr>
      <w:r w:rsidRPr="001F6927">
        <w:rPr>
          <w:rFonts w:ascii="Times New Roman" w:hAnsi="Times New Roman" w:cs="Times New Roman"/>
          <w:sz w:val="28"/>
          <w:szCs w:val="28"/>
        </w:rPr>
        <w:t xml:space="preserve">atbalstīt </w:t>
      </w:r>
      <w:r w:rsidR="00592276">
        <w:rPr>
          <w:rFonts w:ascii="Times New Roman" w:hAnsi="Times New Roman" w:cs="Times New Roman"/>
          <w:sz w:val="28"/>
          <w:szCs w:val="28"/>
        </w:rPr>
        <w:t>lēmumu</w:t>
      </w:r>
      <w:r w:rsidR="00E31159">
        <w:rPr>
          <w:rFonts w:ascii="Times New Roman" w:hAnsi="Times New Roman" w:cs="Times New Roman"/>
          <w:sz w:val="28"/>
          <w:szCs w:val="28"/>
        </w:rPr>
        <w:t xml:space="preserve"> par</w:t>
      </w:r>
      <w:r w:rsidR="00592276">
        <w:rPr>
          <w:rFonts w:ascii="Times New Roman" w:hAnsi="Times New Roman" w:cs="Times New Roman"/>
          <w:sz w:val="28"/>
          <w:szCs w:val="28"/>
        </w:rPr>
        <w:t xml:space="preserve"> </w:t>
      </w:r>
      <w:r w:rsidRPr="001F6927">
        <w:rPr>
          <w:rFonts w:ascii="Times New Roman" w:hAnsi="Times New Roman" w:cs="Times New Roman"/>
          <w:sz w:val="28"/>
          <w:szCs w:val="28"/>
        </w:rPr>
        <w:t>Latvijas nepiedalīšanos izstādē “Astana Expo 2017”;</w:t>
      </w:r>
    </w:p>
    <w:p w14:paraId="275352D9" w14:textId="77777777" w:rsidR="00A201AF" w:rsidRDefault="00A201AF" w:rsidP="00386B45">
      <w:pPr>
        <w:pStyle w:val="ListParagraph"/>
        <w:numPr>
          <w:ilvl w:val="0"/>
          <w:numId w:val="4"/>
        </w:numPr>
        <w:spacing w:before="60" w:after="0" w:line="240" w:lineRule="auto"/>
        <w:ind w:left="426" w:firstLine="567"/>
        <w:jc w:val="both"/>
        <w:rPr>
          <w:rFonts w:ascii="Times New Roman" w:hAnsi="Times New Roman" w:cs="Times New Roman"/>
          <w:sz w:val="28"/>
          <w:szCs w:val="28"/>
        </w:rPr>
      </w:pPr>
      <w:r w:rsidRPr="001F6927">
        <w:rPr>
          <w:rFonts w:ascii="Times New Roman" w:hAnsi="Times New Roman" w:cs="Times New Roman"/>
          <w:sz w:val="28"/>
          <w:szCs w:val="28"/>
        </w:rPr>
        <w:t>par lēmumu nepiedalīties izstādē “Astana Expo 2017” informēt Valsts prezidenta kanceleju un izstādes</w:t>
      </w:r>
      <w:r w:rsidR="00A44C1D" w:rsidRPr="001F6927">
        <w:rPr>
          <w:rFonts w:ascii="Times New Roman" w:hAnsi="Times New Roman" w:cs="Times New Roman"/>
          <w:sz w:val="28"/>
          <w:szCs w:val="28"/>
        </w:rPr>
        <w:t xml:space="preserve"> “Astana Expo 2017”</w:t>
      </w:r>
      <w:r w:rsidRPr="001F6927">
        <w:rPr>
          <w:rFonts w:ascii="Times New Roman" w:hAnsi="Times New Roman" w:cs="Times New Roman"/>
          <w:sz w:val="28"/>
          <w:szCs w:val="28"/>
        </w:rPr>
        <w:t xml:space="preserve"> organizatorus.</w:t>
      </w:r>
    </w:p>
    <w:p w14:paraId="630A719A" w14:textId="77777777" w:rsidR="00CE7114" w:rsidRDefault="00CE7114" w:rsidP="00386B45">
      <w:pPr>
        <w:tabs>
          <w:tab w:val="left" w:pos="6521"/>
        </w:tabs>
        <w:spacing w:after="0" w:line="240" w:lineRule="auto"/>
        <w:jc w:val="both"/>
        <w:rPr>
          <w:rFonts w:ascii="Times New Roman" w:hAnsi="Times New Roman" w:cs="Times New Roman"/>
          <w:sz w:val="28"/>
          <w:szCs w:val="28"/>
        </w:rPr>
      </w:pPr>
    </w:p>
    <w:p w14:paraId="22B51B3B" w14:textId="77777777" w:rsidR="00CE7114" w:rsidRDefault="00CE7114" w:rsidP="00386B45">
      <w:pPr>
        <w:tabs>
          <w:tab w:val="left" w:pos="6521"/>
        </w:tabs>
        <w:spacing w:after="0" w:line="240" w:lineRule="auto"/>
        <w:jc w:val="both"/>
        <w:rPr>
          <w:rFonts w:ascii="Times New Roman" w:hAnsi="Times New Roman" w:cs="Times New Roman"/>
          <w:sz w:val="28"/>
          <w:szCs w:val="28"/>
        </w:rPr>
      </w:pPr>
    </w:p>
    <w:p w14:paraId="73D18CA8" w14:textId="77777777" w:rsidR="00CE7114" w:rsidRPr="00E306CA" w:rsidRDefault="00CE7114" w:rsidP="009B0A62">
      <w:pPr>
        <w:tabs>
          <w:tab w:val="left" w:pos="6804"/>
        </w:tabs>
        <w:spacing w:before="24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w:t>
      </w:r>
      <w:r w:rsidRPr="00E306CA">
        <w:rPr>
          <w:rFonts w:ascii="Times New Roman" w:hAnsi="Times New Roman" w:cs="Times New Roman"/>
          <w:sz w:val="28"/>
          <w:szCs w:val="28"/>
        </w:rPr>
        <w:t>konomikas ministr</w:t>
      </w:r>
      <w:r>
        <w:rPr>
          <w:rFonts w:ascii="Times New Roman" w:hAnsi="Times New Roman" w:cs="Times New Roman"/>
          <w:sz w:val="28"/>
          <w:szCs w:val="28"/>
        </w:rPr>
        <w:t xml:space="preserve">e </w:t>
      </w:r>
      <w:r>
        <w:rPr>
          <w:rFonts w:ascii="Times New Roman" w:hAnsi="Times New Roman" w:cs="Times New Roman"/>
          <w:sz w:val="28"/>
          <w:szCs w:val="28"/>
        </w:rPr>
        <w:tab/>
        <w:t>D.Reizniece-Ozola</w:t>
      </w:r>
    </w:p>
    <w:p w14:paraId="59B0BEB1" w14:textId="77777777" w:rsidR="00CE7114" w:rsidRDefault="00CE7114" w:rsidP="00386B45">
      <w:pPr>
        <w:spacing w:after="0" w:line="240" w:lineRule="auto"/>
        <w:ind w:firstLine="567"/>
        <w:contextualSpacing/>
        <w:jc w:val="both"/>
        <w:rPr>
          <w:rFonts w:ascii="Times New Roman" w:hAnsi="Times New Roman" w:cs="Times New Roman"/>
          <w:sz w:val="28"/>
          <w:szCs w:val="28"/>
        </w:rPr>
      </w:pPr>
    </w:p>
    <w:p w14:paraId="6C908169" w14:textId="77777777" w:rsidR="00CE7114" w:rsidRPr="009635BA" w:rsidRDefault="00CE7114" w:rsidP="00386B45">
      <w:pPr>
        <w:spacing w:after="0" w:line="240" w:lineRule="auto"/>
        <w:contextualSpacing/>
        <w:jc w:val="both"/>
        <w:rPr>
          <w:rFonts w:ascii="Times New Roman" w:hAnsi="Times New Roman" w:cs="Times New Roman"/>
          <w:sz w:val="28"/>
          <w:szCs w:val="28"/>
        </w:rPr>
      </w:pPr>
      <w:r w:rsidRPr="009635BA">
        <w:rPr>
          <w:rFonts w:ascii="Times New Roman" w:hAnsi="Times New Roman" w:cs="Times New Roman"/>
          <w:sz w:val="28"/>
          <w:szCs w:val="28"/>
        </w:rPr>
        <w:t xml:space="preserve">Vīza:                                                    </w:t>
      </w:r>
    </w:p>
    <w:p w14:paraId="7EC195AC" w14:textId="77777777" w:rsidR="00CE7114" w:rsidRDefault="00CE7114" w:rsidP="00386B45">
      <w:pPr>
        <w:tabs>
          <w:tab w:val="left" w:pos="7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t>R.Beinarovičs</w:t>
      </w:r>
    </w:p>
    <w:p w14:paraId="69F03C3B" w14:textId="77777777" w:rsidR="007B32C3" w:rsidRDefault="007B32C3" w:rsidP="0007652C">
      <w:pPr>
        <w:spacing w:after="0" w:line="240" w:lineRule="auto"/>
        <w:jc w:val="both"/>
        <w:rPr>
          <w:rFonts w:ascii="Times New Roman" w:hAnsi="Times New Roman" w:cs="Times New Roman"/>
          <w:sz w:val="20"/>
          <w:szCs w:val="28"/>
        </w:rPr>
      </w:pPr>
    </w:p>
    <w:p w14:paraId="4043A236" w14:textId="77777777" w:rsidR="007B32C3" w:rsidRDefault="007B32C3" w:rsidP="0007652C">
      <w:pPr>
        <w:spacing w:after="0" w:line="240" w:lineRule="auto"/>
        <w:jc w:val="both"/>
        <w:rPr>
          <w:rFonts w:ascii="Times New Roman" w:hAnsi="Times New Roman" w:cs="Times New Roman"/>
          <w:sz w:val="20"/>
          <w:szCs w:val="28"/>
        </w:rPr>
      </w:pPr>
    </w:p>
    <w:p w14:paraId="190ECF9A" w14:textId="77777777" w:rsidR="008301A9" w:rsidRDefault="008301A9" w:rsidP="0007652C">
      <w:pPr>
        <w:spacing w:after="0" w:line="240" w:lineRule="auto"/>
        <w:jc w:val="both"/>
        <w:rPr>
          <w:rFonts w:ascii="Times New Roman" w:hAnsi="Times New Roman" w:cs="Times New Roman"/>
          <w:sz w:val="20"/>
          <w:szCs w:val="28"/>
        </w:rPr>
      </w:pPr>
    </w:p>
    <w:p w14:paraId="683F01D6" w14:textId="77777777" w:rsidR="008301A9" w:rsidRDefault="008301A9" w:rsidP="0007652C">
      <w:pPr>
        <w:spacing w:after="0" w:line="240" w:lineRule="auto"/>
        <w:jc w:val="both"/>
        <w:rPr>
          <w:rFonts w:ascii="Times New Roman" w:hAnsi="Times New Roman" w:cs="Times New Roman"/>
          <w:sz w:val="20"/>
          <w:szCs w:val="28"/>
        </w:rPr>
      </w:pPr>
    </w:p>
    <w:p w14:paraId="7E28E21C" w14:textId="3405D215" w:rsidR="001D7965" w:rsidRPr="0007652C" w:rsidRDefault="001D7965" w:rsidP="0007652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06.08</w:t>
      </w:r>
      <w:r w:rsidRPr="0007652C">
        <w:rPr>
          <w:rFonts w:ascii="Times New Roman" w:hAnsi="Times New Roman" w:cs="Times New Roman"/>
          <w:sz w:val="20"/>
          <w:szCs w:val="28"/>
        </w:rPr>
        <w:t xml:space="preserve">.2015 </w:t>
      </w:r>
      <w:r w:rsidR="007B32C3">
        <w:rPr>
          <w:rFonts w:ascii="Times New Roman" w:hAnsi="Times New Roman" w:cs="Times New Roman"/>
          <w:sz w:val="20"/>
          <w:szCs w:val="28"/>
        </w:rPr>
        <w:t>17:46</w:t>
      </w:r>
    </w:p>
    <w:p w14:paraId="01773D05" w14:textId="1C4D390B" w:rsidR="001D7965" w:rsidRPr="0007652C" w:rsidRDefault="007B32C3" w:rsidP="0007652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1748</w:t>
      </w:r>
    </w:p>
    <w:p w14:paraId="47F83F0C" w14:textId="77777777" w:rsidR="001D7965" w:rsidRDefault="001D7965" w:rsidP="0007652C">
      <w:pPr>
        <w:spacing w:after="0" w:line="240" w:lineRule="auto"/>
        <w:jc w:val="both"/>
        <w:rPr>
          <w:rFonts w:ascii="Times New Roman" w:hAnsi="Times New Roman" w:cs="Times New Roman"/>
          <w:sz w:val="20"/>
          <w:szCs w:val="28"/>
        </w:rPr>
      </w:pPr>
      <w:r w:rsidRPr="001D7965">
        <w:rPr>
          <w:rFonts w:ascii="Times New Roman" w:hAnsi="Times New Roman" w:cs="Times New Roman"/>
          <w:sz w:val="20"/>
          <w:szCs w:val="28"/>
        </w:rPr>
        <w:t>Miķelis Zondaks, 67 013 023</w:t>
      </w:r>
    </w:p>
    <w:p w14:paraId="574F9481" w14:textId="19978E12" w:rsidR="001D7965" w:rsidRPr="0007652C" w:rsidRDefault="001D7965" w:rsidP="0007652C">
      <w:pPr>
        <w:spacing w:after="0" w:line="240" w:lineRule="auto"/>
        <w:jc w:val="both"/>
        <w:rPr>
          <w:rFonts w:ascii="Times New Roman" w:hAnsi="Times New Roman" w:cs="Times New Roman"/>
          <w:sz w:val="20"/>
          <w:szCs w:val="28"/>
        </w:rPr>
      </w:pPr>
      <w:r w:rsidRPr="0007652C">
        <w:rPr>
          <w:rFonts w:ascii="Times New Roman" w:hAnsi="Times New Roman" w:cs="Times New Roman"/>
          <w:sz w:val="20"/>
          <w:szCs w:val="28"/>
        </w:rPr>
        <w:lastRenderedPageBreak/>
        <w:t>Mikelis.Zondaks@em.gov.lv</w:t>
      </w:r>
    </w:p>
    <w:sectPr w:rsidR="001D7965" w:rsidRPr="0007652C" w:rsidSect="007B32C3">
      <w:headerReference w:type="default" r:id="rId9"/>
      <w:footerReference w:type="default" r:id="rId10"/>
      <w:footerReference w:type="first" r:id="rId11"/>
      <w:pgSz w:w="11906" w:h="16838"/>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9EEE" w14:textId="77777777" w:rsidR="00C92056" w:rsidRDefault="00C92056" w:rsidP="001F6927">
      <w:pPr>
        <w:spacing w:after="0" w:line="240" w:lineRule="auto"/>
      </w:pPr>
      <w:r>
        <w:separator/>
      </w:r>
    </w:p>
  </w:endnote>
  <w:endnote w:type="continuationSeparator" w:id="0">
    <w:p w14:paraId="6790B2B5" w14:textId="77777777" w:rsidR="00C92056" w:rsidRDefault="00C92056" w:rsidP="001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4886" w14:textId="0C0ED393" w:rsidR="001F6927" w:rsidRPr="001F6927" w:rsidRDefault="001F6927" w:rsidP="001D7965">
    <w:pPr>
      <w:pStyle w:val="Footer"/>
      <w:rPr>
        <w:rFonts w:ascii="Times New Roman" w:hAnsi="Times New Roman" w:cs="Times New Roman"/>
        <w:sz w:val="20"/>
        <w:szCs w:val="20"/>
      </w:rPr>
    </w:pPr>
    <w:r w:rsidRPr="001F6927">
      <w:rPr>
        <w:rFonts w:ascii="Times New Roman" w:hAnsi="Times New Roman" w:cs="Times New Roman"/>
        <w:sz w:val="20"/>
        <w:szCs w:val="20"/>
      </w:rPr>
      <w:t>EMZino_</w:t>
    </w:r>
    <w:r w:rsidR="001D7965" w:rsidRPr="001F6927">
      <w:rPr>
        <w:rFonts w:ascii="Times New Roman" w:hAnsi="Times New Roman" w:cs="Times New Roman"/>
        <w:sz w:val="20"/>
        <w:szCs w:val="20"/>
      </w:rPr>
      <w:t>0</w:t>
    </w:r>
    <w:r w:rsidR="001D7965">
      <w:rPr>
        <w:rFonts w:ascii="Times New Roman" w:hAnsi="Times New Roman" w:cs="Times New Roman"/>
        <w:sz w:val="20"/>
        <w:szCs w:val="20"/>
      </w:rPr>
      <w:t>6</w:t>
    </w:r>
    <w:r w:rsidR="001D7965" w:rsidRPr="001F6927">
      <w:rPr>
        <w:rFonts w:ascii="Times New Roman" w:hAnsi="Times New Roman" w:cs="Times New Roman"/>
        <w:sz w:val="20"/>
        <w:szCs w:val="20"/>
      </w:rPr>
      <w:t>0815</w:t>
    </w:r>
    <w:r w:rsidRPr="001F6927">
      <w:rPr>
        <w:rFonts w:ascii="Times New Roman" w:hAnsi="Times New Roman" w:cs="Times New Roman"/>
        <w:sz w:val="20"/>
        <w:szCs w:val="20"/>
      </w:rPr>
      <w:t>_</w:t>
    </w:r>
    <w:r w:rsidR="001D7965">
      <w:rPr>
        <w:rFonts w:ascii="Times New Roman" w:hAnsi="Times New Roman" w:cs="Times New Roman"/>
        <w:sz w:val="20"/>
        <w:szCs w:val="20"/>
      </w:rPr>
      <w:t>Expo</w:t>
    </w:r>
    <w:r w:rsidRPr="001F6927">
      <w:rPr>
        <w:rFonts w:ascii="Times New Roman" w:hAnsi="Times New Roman" w:cs="Times New Roman"/>
        <w:sz w:val="20"/>
        <w:szCs w:val="20"/>
      </w:rPr>
      <w:t>Astan</w:t>
    </w:r>
    <w:r w:rsidR="001D7965">
      <w:rPr>
        <w:rFonts w:ascii="Times New Roman" w:hAnsi="Times New Roman" w:cs="Times New Roman"/>
        <w:sz w:val="20"/>
        <w:szCs w:val="20"/>
      </w:rPr>
      <w:t xml:space="preserve">a; </w:t>
    </w:r>
    <w:r w:rsidR="001D7965" w:rsidRPr="001D7965">
      <w:rPr>
        <w:rFonts w:ascii="Times New Roman" w:hAnsi="Times New Roman" w:cs="Times New Roman"/>
        <w:sz w:val="20"/>
        <w:szCs w:val="20"/>
      </w:rPr>
      <w:t xml:space="preserve">Informatīvais ziņojums </w:t>
    </w:r>
    <w:r w:rsidR="001D7965">
      <w:rPr>
        <w:rFonts w:ascii="Times New Roman" w:hAnsi="Times New Roman" w:cs="Times New Roman"/>
        <w:sz w:val="20"/>
        <w:szCs w:val="20"/>
      </w:rPr>
      <w:t>p</w:t>
    </w:r>
    <w:r w:rsidR="001D7965" w:rsidRPr="001D7965">
      <w:rPr>
        <w:rFonts w:ascii="Times New Roman" w:hAnsi="Times New Roman" w:cs="Times New Roman"/>
        <w:sz w:val="20"/>
        <w:szCs w:val="20"/>
      </w:rPr>
      <w:t>ar Latvijas dalību izstādē “Astana Expo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B105" w14:textId="77777777" w:rsidR="001D7965" w:rsidRPr="001F6927" w:rsidRDefault="001D7965" w:rsidP="001D7965">
    <w:pPr>
      <w:pStyle w:val="Footer"/>
      <w:rPr>
        <w:rFonts w:ascii="Times New Roman" w:hAnsi="Times New Roman" w:cs="Times New Roman"/>
        <w:sz w:val="20"/>
        <w:szCs w:val="20"/>
      </w:rPr>
    </w:pPr>
    <w:r w:rsidRPr="001F6927">
      <w:rPr>
        <w:rFonts w:ascii="Times New Roman" w:hAnsi="Times New Roman" w:cs="Times New Roman"/>
        <w:sz w:val="20"/>
        <w:szCs w:val="20"/>
      </w:rPr>
      <w:t>EMZino_0</w:t>
    </w:r>
    <w:r>
      <w:rPr>
        <w:rFonts w:ascii="Times New Roman" w:hAnsi="Times New Roman" w:cs="Times New Roman"/>
        <w:sz w:val="20"/>
        <w:szCs w:val="20"/>
      </w:rPr>
      <w:t>6</w:t>
    </w:r>
    <w:r w:rsidRPr="001F6927">
      <w:rPr>
        <w:rFonts w:ascii="Times New Roman" w:hAnsi="Times New Roman" w:cs="Times New Roman"/>
        <w:sz w:val="20"/>
        <w:szCs w:val="20"/>
      </w:rPr>
      <w:t>0815_</w:t>
    </w:r>
    <w:r>
      <w:rPr>
        <w:rFonts w:ascii="Times New Roman" w:hAnsi="Times New Roman" w:cs="Times New Roman"/>
        <w:sz w:val="20"/>
        <w:szCs w:val="20"/>
      </w:rPr>
      <w:t>Expo</w:t>
    </w:r>
    <w:r w:rsidRPr="001F6927">
      <w:rPr>
        <w:rFonts w:ascii="Times New Roman" w:hAnsi="Times New Roman" w:cs="Times New Roman"/>
        <w:sz w:val="20"/>
        <w:szCs w:val="20"/>
      </w:rPr>
      <w:t>Astan</w:t>
    </w:r>
    <w:r>
      <w:rPr>
        <w:rFonts w:ascii="Times New Roman" w:hAnsi="Times New Roman" w:cs="Times New Roman"/>
        <w:sz w:val="20"/>
        <w:szCs w:val="20"/>
      </w:rPr>
      <w:t xml:space="preserve">a; </w:t>
    </w:r>
    <w:r w:rsidRPr="001D7965">
      <w:rPr>
        <w:rFonts w:ascii="Times New Roman" w:hAnsi="Times New Roman" w:cs="Times New Roman"/>
        <w:sz w:val="20"/>
        <w:szCs w:val="20"/>
      </w:rPr>
      <w:t xml:space="preserve">Informatīvais ziņojums </w:t>
    </w:r>
    <w:r>
      <w:rPr>
        <w:rFonts w:ascii="Times New Roman" w:hAnsi="Times New Roman" w:cs="Times New Roman"/>
        <w:sz w:val="20"/>
        <w:szCs w:val="20"/>
      </w:rPr>
      <w:t>p</w:t>
    </w:r>
    <w:r w:rsidRPr="001D7965">
      <w:rPr>
        <w:rFonts w:ascii="Times New Roman" w:hAnsi="Times New Roman" w:cs="Times New Roman"/>
        <w:sz w:val="20"/>
        <w:szCs w:val="20"/>
      </w:rPr>
      <w:t>ar Latvijas dalību izstādē “Astana Expo 2017”</w:t>
    </w:r>
  </w:p>
  <w:p w14:paraId="3071B79D" w14:textId="2FD772BD" w:rsidR="004335AC" w:rsidRPr="004335AC" w:rsidRDefault="004335A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5251" w14:textId="77777777" w:rsidR="00C92056" w:rsidRDefault="00C92056" w:rsidP="001F6927">
      <w:pPr>
        <w:spacing w:after="0" w:line="240" w:lineRule="auto"/>
      </w:pPr>
      <w:r>
        <w:separator/>
      </w:r>
    </w:p>
  </w:footnote>
  <w:footnote w:type="continuationSeparator" w:id="0">
    <w:p w14:paraId="306B8C8B" w14:textId="77777777" w:rsidR="00C92056" w:rsidRDefault="00C92056" w:rsidP="001F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3412"/>
      <w:docPartObj>
        <w:docPartGallery w:val="Page Numbers (Top of Page)"/>
        <w:docPartUnique/>
      </w:docPartObj>
    </w:sdtPr>
    <w:sdtEndPr>
      <w:rPr>
        <w:noProof/>
      </w:rPr>
    </w:sdtEndPr>
    <w:sdtContent>
      <w:p w14:paraId="7CEBABFA" w14:textId="77777777" w:rsidR="001F6927" w:rsidRDefault="001F6927">
        <w:pPr>
          <w:pStyle w:val="Header"/>
          <w:jc w:val="center"/>
        </w:pPr>
        <w:r>
          <w:fldChar w:fldCharType="begin"/>
        </w:r>
        <w:r>
          <w:instrText xml:space="preserve"> PAGE   \* MERGEFORMAT </w:instrText>
        </w:r>
        <w:r>
          <w:fldChar w:fldCharType="separate"/>
        </w:r>
        <w:r w:rsidR="00B836F8">
          <w:rPr>
            <w:noProof/>
          </w:rPr>
          <w:t>7</w:t>
        </w:r>
        <w:r>
          <w:rPr>
            <w:noProof/>
          </w:rPr>
          <w:fldChar w:fldCharType="end"/>
        </w:r>
      </w:p>
    </w:sdtContent>
  </w:sdt>
  <w:p w14:paraId="78317E0B" w14:textId="77777777" w:rsidR="001F6927" w:rsidRDefault="001F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FBF"/>
    <w:multiLevelType w:val="multilevel"/>
    <w:tmpl w:val="E532769A"/>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CD329DA"/>
    <w:multiLevelType w:val="hybridMultilevel"/>
    <w:tmpl w:val="9028C846"/>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14FB19C9"/>
    <w:multiLevelType w:val="hybridMultilevel"/>
    <w:tmpl w:val="CCAC89A8"/>
    <w:lvl w:ilvl="0" w:tplc="97401404">
      <w:numFmt w:val="bullet"/>
      <w:lvlText w:val=""/>
      <w:lvlJc w:val="left"/>
      <w:pPr>
        <w:ind w:left="1287" w:hanging="360"/>
      </w:pPr>
      <w:rPr>
        <w:rFonts w:ascii="Symbol" w:eastAsiaTheme="minorHAnsi" w:hAnsi="Symbol"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15435736"/>
    <w:multiLevelType w:val="hybridMultilevel"/>
    <w:tmpl w:val="F2900BDA"/>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5A22B1A"/>
    <w:multiLevelType w:val="hybridMultilevel"/>
    <w:tmpl w:val="59685E50"/>
    <w:lvl w:ilvl="0" w:tplc="97401404">
      <w:numFmt w:val="bullet"/>
      <w:lvlText w:val=""/>
      <w:lvlJc w:val="left"/>
      <w:pPr>
        <w:ind w:left="1287" w:hanging="360"/>
      </w:pPr>
      <w:rPr>
        <w:rFonts w:ascii="Symbol" w:eastAsiaTheme="minorHAnsi" w:hAnsi="Symbol" w:cs="Times New Roman" w:hint="default"/>
      </w:rPr>
    </w:lvl>
    <w:lvl w:ilvl="1" w:tplc="97401404">
      <w:numFmt w:val="bullet"/>
      <w:lvlText w:val=""/>
      <w:lvlJc w:val="left"/>
      <w:pPr>
        <w:ind w:left="2007" w:hanging="360"/>
      </w:pPr>
      <w:rPr>
        <w:rFonts w:ascii="Symbol" w:eastAsiaTheme="minorHAnsi" w:hAnsi="Symbol"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BDC77F9"/>
    <w:multiLevelType w:val="hybridMultilevel"/>
    <w:tmpl w:val="DF242CDC"/>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220D06DB"/>
    <w:multiLevelType w:val="hybridMultilevel"/>
    <w:tmpl w:val="54A0D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A2B7DBB"/>
    <w:multiLevelType w:val="hybridMultilevel"/>
    <w:tmpl w:val="A92E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1F3ED1"/>
    <w:multiLevelType w:val="hybridMultilevel"/>
    <w:tmpl w:val="EE50F2B0"/>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357F7444"/>
    <w:multiLevelType w:val="hybridMultilevel"/>
    <w:tmpl w:val="28860E20"/>
    <w:lvl w:ilvl="0" w:tplc="3232388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5B530A"/>
    <w:multiLevelType w:val="hybridMultilevel"/>
    <w:tmpl w:val="C92C52D2"/>
    <w:lvl w:ilvl="0" w:tplc="D9182B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BDD1F36"/>
    <w:multiLevelType w:val="hybridMultilevel"/>
    <w:tmpl w:val="2F10D4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4E09724D"/>
    <w:multiLevelType w:val="hybridMultilevel"/>
    <w:tmpl w:val="B1A82BC4"/>
    <w:lvl w:ilvl="0" w:tplc="DE88C69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nsid w:val="574E2094"/>
    <w:multiLevelType w:val="hybridMultilevel"/>
    <w:tmpl w:val="1FC8C4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11239D8"/>
    <w:multiLevelType w:val="hybridMultilevel"/>
    <w:tmpl w:val="9DA07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F37E5E"/>
    <w:multiLevelType w:val="hybridMultilevel"/>
    <w:tmpl w:val="95961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7E57F6C"/>
    <w:multiLevelType w:val="multilevel"/>
    <w:tmpl w:val="67A0E8B2"/>
    <w:lvl w:ilvl="0">
      <w:start w:val="1"/>
      <w:numFmt w:val="upperRoman"/>
      <w:lvlText w:val="%1."/>
      <w:lvlJc w:val="righ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9233D8A"/>
    <w:multiLevelType w:val="hybridMultilevel"/>
    <w:tmpl w:val="1F401D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6E3C3AB5"/>
    <w:multiLevelType w:val="hybridMultilevel"/>
    <w:tmpl w:val="D58CF9AC"/>
    <w:lvl w:ilvl="0" w:tplc="3232388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3B1916"/>
    <w:multiLevelType w:val="hybridMultilevel"/>
    <w:tmpl w:val="179AEFB4"/>
    <w:lvl w:ilvl="0" w:tplc="97401404">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nsid w:val="78923C5B"/>
    <w:multiLevelType w:val="multilevel"/>
    <w:tmpl w:val="22F8EB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CB90F42"/>
    <w:multiLevelType w:val="hybridMultilevel"/>
    <w:tmpl w:val="EFAEA67E"/>
    <w:lvl w:ilvl="0" w:tplc="0426000F">
      <w:start w:val="1"/>
      <w:numFmt w:val="decimal"/>
      <w:lvlText w:val="%1."/>
      <w:lvlJc w:val="left"/>
      <w:pPr>
        <w:ind w:left="720" w:hanging="360"/>
      </w:pPr>
    </w:lvl>
    <w:lvl w:ilvl="1" w:tplc="3232388C">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10"/>
  </w:num>
  <w:num w:numId="5">
    <w:abstractNumId w:val="16"/>
  </w:num>
  <w:num w:numId="6">
    <w:abstractNumId w:val="0"/>
  </w:num>
  <w:num w:numId="7">
    <w:abstractNumId w:val="17"/>
  </w:num>
  <w:num w:numId="8">
    <w:abstractNumId w:val="12"/>
  </w:num>
  <w:num w:numId="9">
    <w:abstractNumId w:val="19"/>
  </w:num>
  <w:num w:numId="10">
    <w:abstractNumId w:val="8"/>
  </w:num>
  <w:num w:numId="11">
    <w:abstractNumId w:val="2"/>
  </w:num>
  <w:num w:numId="12">
    <w:abstractNumId w:val="4"/>
  </w:num>
  <w:num w:numId="13">
    <w:abstractNumId w:val="3"/>
  </w:num>
  <w:num w:numId="14">
    <w:abstractNumId w:val="1"/>
  </w:num>
  <w:num w:numId="15">
    <w:abstractNumId w:val="5"/>
  </w:num>
  <w:num w:numId="16">
    <w:abstractNumId w:val="11"/>
  </w:num>
  <w:num w:numId="17">
    <w:abstractNumId w:val="7"/>
  </w:num>
  <w:num w:numId="18">
    <w:abstractNumId w:val="14"/>
  </w:num>
  <w:num w:numId="19">
    <w:abstractNumId w:val="13"/>
  </w:num>
  <w:num w:numId="20">
    <w:abstractNumId w:val="2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D4"/>
    <w:rsid w:val="000478B0"/>
    <w:rsid w:val="00074567"/>
    <w:rsid w:val="0007652C"/>
    <w:rsid w:val="000E1FEE"/>
    <w:rsid w:val="000F54A0"/>
    <w:rsid w:val="001D7965"/>
    <w:rsid w:val="001F6927"/>
    <w:rsid w:val="00227FE8"/>
    <w:rsid w:val="002332F4"/>
    <w:rsid w:val="0023460F"/>
    <w:rsid w:val="0028662E"/>
    <w:rsid w:val="00350B02"/>
    <w:rsid w:val="00372942"/>
    <w:rsid w:val="00386B45"/>
    <w:rsid w:val="003A620C"/>
    <w:rsid w:val="003F1075"/>
    <w:rsid w:val="0042797F"/>
    <w:rsid w:val="004335AC"/>
    <w:rsid w:val="0054053B"/>
    <w:rsid w:val="00553FE2"/>
    <w:rsid w:val="00592276"/>
    <w:rsid w:val="00617383"/>
    <w:rsid w:val="00723643"/>
    <w:rsid w:val="00735459"/>
    <w:rsid w:val="00747E15"/>
    <w:rsid w:val="007B30E4"/>
    <w:rsid w:val="007B32C3"/>
    <w:rsid w:val="007C5192"/>
    <w:rsid w:val="008301A9"/>
    <w:rsid w:val="00842AD4"/>
    <w:rsid w:val="008907A7"/>
    <w:rsid w:val="008B2300"/>
    <w:rsid w:val="008B4654"/>
    <w:rsid w:val="008D29FA"/>
    <w:rsid w:val="00975ABA"/>
    <w:rsid w:val="00996DEA"/>
    <w:rsid w:val="009A2FA0"/>
    <w:rsid w:val="009A54A7"/>
    <w:rsid w:val="009B0A62"/>
    <w:rsid w:val="009F7C71"/>
    <w:rsid w:val="00A062BC"/>
    <w:rsid w:val="00A201AF"/>
    <w:rsid w:val="00A4028F"/>
    <w:rsid w:val="00A44C1D"/>
    <w:rsid w:val="00A77586"/>
    <w:rsid w:val="00A91F0E"/>
    <w:rsid w:val="00A93FB0"/>
    <w:rsid w:val="00AD4DEF"/>
    <w:rsid w:val="00B020E2"/>
    <w:rsid w:val="00B14BA2"/>
    <w:rsid w:val="00B42B24"/>
    <w:rsid w:val="00B65F4F"/>
    <w:rsid w:val="00B836F8"/>
    <w:rsid w:val="00BD1662"/>
    <w:rsid w:val="00C23443"/>
    <w:rsid w:val="00C26111"/>
    <w:rsid w:val="00C42C8C"/>
    <w:rsid w:val="00C92056"/>
    <w:rsid w:val="00C93FEC"/>
    <w:rsid w:val="00CE3714"/>
    <w:rsid w:val="00CE7114"/>
    <w:rsid w:val="00D330D0"/>
    <w:rsid w:val="00D33C85"/>
    <w:rsid w:val="00D621C3"/>
    <w:rsid w:val="00D82BE3"/>
    <w:rsid w:val="00E03150"/>
    <w:rsid w:val="00E31159"/>
    <w:rsid w:val="00E84AC1"/>
    <w:rsid w:val="00E92615"/>
    <w:rsid w:val="00EA0037"/>
    <w:rsid w:val="00F43960"/>
    <w:rsid w:val="00F50CF9"/>
    <w:rsid w:val="00F50ED5"/>
    <w:rsid w:val="00F729CE"/>
    <w:rsid w:val="00F86D97"/>
    <w:rsid w:val="00F8740E"/>
    <w:rsid w:val="00FB0408"/>
    <w:rsid w:val="00FC0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E2"/>
    <w:pPr>
      <w:spacing w:after="200" w:line="276" w:lineRule="auto"/>
      <w:ind w:left="720"/>
      <w:contextualSpacing/>
    </w:pPr>
  </w:style>
  <w:style w:type="table" w:styleId="TableGrid">
    <w:name w:val="Table Grid"/>
    <w:basedOn w:val="TableNormal"/>
    <w:uiPriority w:val="59"/>
    <w:rsid w:val="00B0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0E"/>
    <w:rPr>
      <w:rFonts w:ascii="Segoe UI" w:hAnsi="Segoe UI" w:cs="Segoe UI"/>
      <w:sz w:val="18"/>
      <w:szCs w:val="18"/>
    </w:rPr>
  </w:style>
  <w:style w:type="paragraph" w:styleId="Header">
    <w:name w:val="header"/>
    <w:basedOn w:val="Normal"/>
    <w:link w:val="HeaderChar"/>
    <w:uiPriority w:val="99"/>
    <w:unhideWhenUsed/>
    <w:rsid w:val="001F69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927"/>
  </w:style>
  <w:style w:type="paragraph" w:styleId="Footer">
    <w:name w:val="footer"/>
    <w:basedOn w:val="Normal"/>
    <w:link w:val="FooterChar"/>
    <w:uiPriority w:val="99"/>
    <w:unhideWhenUsed/>
    <w:rsid w:val="001F69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927"/>
  </w:style>
  <w:style w:type="character" w:styleId="CommentReference">
    <w:name w:val="annotation reference"/>
    <w:basedOn w:val="DefaultParagraphFont"/>
    <w:uiPriority w:val="99"/>
    <w:semiHidden/>
    <w:unhideWhenUsed/>
    <w:rsid w:val="00C26111"/>
    <w:rPr>
      <w:sz w:val="16"/>
      <w:szCs w:val="16"/>
    </w:rPr>
  </w:style>
  <w:style w:type="paragraph" w:styleId="CommentText">
    <w:name w:val="annotation text"/>
    <w:basedOn w:val="Normal"/>
    <w:link w:val="CommentTextChar"/>
    <w:uiPriority w:val="99"/>
    <w:semiHidden/>
    <w:unhideWhenUsed/>
    <w:rsid w:val="00C26111"/>
    <w:pPr>
      <w:spacing w:line="240" w:lineRule="auto"/>
    </w:pPr>
    <w:rPr>
      <w:sz w:val="20"/>
      <w:szCs w:val="20"/>
    </w:rPr>
  </w:style>
  <w:style w:type="character" w:customStyle="1" w:styleId="CommentTextChar">
    <w:name w:val="Comment Text Char"/>
    <w:basedOn w:val="DefaultParagraphFont"/>
    <w:link w:val="CommentText"/>
    <w:uiPriority w:val="99"/>
    <w:semiHidden/>
    <w:rsid w:val="00C26111"/>
    <w:rPr>
      <w:sz w:val="20"/>
      <w:szCs w:val="20"/>
    </w:rPr>
  </w:style>
  <w:style w:type="paragraph" w:styleId="CommentSubject">
    <w:name w:val="annotation subject"/>
    <w:basedOn w:val="CommentText"/>
    <w:next w:val="CommentText"/>
    <w:link w:val="CommentSubjectChar"/>
    <w:uiPriority w:val="99"/>
    <w:semiHidden/>
    <w:unhideWhenUsed/>
    <w:rsid w:val="00C26111"/>
    <w:rPr>
      <w:b/>
      <w:bCs/>
    </w:rPr>
  </w:style>
  <w:style w:type="character" w:customStyle="1" w:styleId="CommentSubjectChar">
    <w:name w:val="Comment Subject Char"/>
    <w:basedOn w:val="CommentTextChar"/>
    <w:link w:val="CommentSubject"/>
    <w:uiPriority w:val="99"/>
    <w:semiHidden/>
    <w:rsid w:val="00C261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E2"/>
    <w:pPr>
      <w:spacing w:after="200" w:line="276" w:lineRule="auto"/>
      <w:ind w:left="720"/>
      <w:contextualSpacing/>
    </w:pPr>
  </w:style>
  <w:style w:type="table" w:styleId="TableGrid">
    <w:name w:val="Table Grid"/>
    <w:basedOn w:val="TableNormal"/>
    <w:uiPriority w:val="59"/>
    <w:rsid w:val="00B0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0E"/>
    <w:rPr>
      <w:rFonts w:ascii="Segoe UI" w:hAnsi="Segoe UI" w:cs="Segoe UI"/>
      <w:sz w:val="18"/>
      <w:szCs w:val="18"/>
    </w:rPr>
  </w:style>
  <w:style w:type="paragraph" w:styleId="Header">
    <w:name w:val="header"/>
    <w:basedOn w:val="Normal"/>
    <w:link w:val="HeaderChar"/>
    <w:uiPriority w:val="99"/>
    <w:unhideWhenUsed/>
    <w:rsid w:val="001F69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927"/>
  </w:style>
  <w:style w:type="paragraph" w:styleId="Footer">
    <w:name w:val="footer"/>
    <w:basedOn w:val="Normal"/>
    <w:link w:val="FooterChar"/>
    <w:uiPriority w:val="99"/>
    <w:unhideWhenUsed/>
    <w:rsid w:val="001F69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927"/>
  </w:style>
  <w:style w:type="character" w:styleId="CommentReference">
    <w:name w:val="annotation reference"/>
    <w:basedOn w:val="DefaultParagraphFont"/>
    <w:uiPriority w:val="99"/>
    <w:semiHidden/>
    <w:unhideWhenUsed/>
    <w:rsid w:val="00C26111"/>
    <w:rPr>
      <w:sz w:val="16"/>
      <w:szCs w:val="16"/>
    </w:rPr>
  </w:style>
  <w:style w:type="paragraph" w:styleId="CommentText">
    <w:name w:val="annotation text"/>
    <w:basedOn w:val="Normal"/>
    <w:link w:val="CommentTextChar"/>
    <w:uiPriority w:val="99"/>
    <w:semiHidden/>
    <w:unhideWhenUsed/>
    <w:rsid w:val="00C26111"/>
    <w:pPr>
      <w:spacing w:line="240" w:lineRule="auto"/>
    </w:pPr>
    <w:rPr>
      <w:sz w:val="20"/>
      <w:szCs w:val="20"/>
    </w:rPr>
  </w:style>
  <w:style w:type="character" w:customStyle="1" w:styleId="CommentTextChar">
    <w:name w:val="Comment Text Char"/>
    <w:basedOn w:val="DefaultParagraphFont"/>
    <w:link w:val="CommentText"/>
    <w:uiPriority w:val="99"/>
    <w:semiHidden/>
    <w:rsid w:val="00C26111"/>
    <w:rPr>
      <w:sz w:val="20"/>
      <w:szCs w:val="20"/>
    </w:rPr>
  </w:style>
  <w:style w:type="paragraph" w:styleId="CommentSubject">
    <w:name w:val="annotation subject"/>
    <w:basedOn w:val="CommentText"/>
    <w:next w:val="CommentText"/>
    <w:link w:val="CommentSubjectChar"/>
    <w:uiPriority w:val="99"/>
    <w:semiHidden/>
    <w:unhideWhenUsed/>
    <w:rsid w:val="00C26111"/>
    <w:rPr>
      <w:b/>
      <w:bCs/>
    </w:rPr>
  </w:style>
  <w:style w:type="character" w:customStyle="1" w:styleId="CommentSubjectChar">
    <w:name w:val="Comment Subject Char"/>
    <w:basedOn w:val="CommentTextChar"/>
    <w:link w:val="CommentSubject"/>
    <w:uiPriority w:val="99"/>
    <w:semiHidden/>
    <w:rsid w:val="00C26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695F-4BFB-4570-A51A-E8A9A319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9261</Words>
  <Characters>5279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Miķelis Zondaks</dc:creator>
  <cp:lastModifiedBy>Laimdota Adlere</cp:lastModifiedBy>
  <cp:revision>4</cp:revision>
  <cp:lastPrinted>2015-08-06T15:21:00Z</cp:lastPrinted>
  <dcterms:created xsi:type="dcterms:W3CDTF">2015-08-10T12:15:00Z</dcterms:created>
  <dcterms:modified xsi:type="dcterms:W3CDTF">2015-08-10T12:15:00Z</dcterms:modified>
</cp:coreProperties>
</file>